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4580" w:type="dxa"/>
        <w:tblInd w:w="589" w:type="dxa"/>
        <w:tblLayout w:type="fixed"/>
        <w:tblCellMar>
          <w:top w:w="0" w:type="dxa"/>
          <w:left w:w="108" w:type="dxa"/>
          <w:bottom w:w="0" w:type="dxa"/>
          <w:right w:w="108" w:type="dxa"/>
        </w:tblCellMar>
      </w:tblPr>
      <w:tblGrid>
        <w:gridCol w:w="6038"/>
        <w:gridCol w:w="8542"/>
      </w:tblGrid>
      <w:tr w14:paraId="1ED32B29">
        <w:tblPrEx>
          <w:tblCellMar>
            <w:top w:w="0" w:type="dxa"/>
            <w:left w:w="108" w:type="dxa"/>
            <w:bottom w:w="0" w:type="dxa"/>
            <w:right w:w="108" w:type="dxa"/>
          </w:tblCellMar>
        </w:tblPrEx>
        <w:trPr>
          <w:trHeight w:val="1274" w:hRule="atLeast"/>
        </w:trPr>
        <w:tc>
          <w:tcPr>
            <w:tcW w:w="6038" w:type="dxa"/>
          </w:tcPr>
          <w:p w14:paraId="21ADDCD5">
            <w:pPr>
              <w:keepNext w:val="0"/>
              <w:keepLines w:val="0"/>
              <w:pageBreakBefore w:val="0"/>
              <w:widowControl w:val="0"/>
              <w:tabs>
                <w:tab w:val="center" w:pos="1418"/>
                <w:tab w:val="center" w:pos="6521"/>
              </w:tabs>
              <w:kinsoku/>
              <w:wordWrap/>
              <w:overflowPunct/>
              <w:topLinePunct w:val="0"/>
              <w:autoSpaceDE/>
              <w:autoSpaceDN/>
              <w:bidi w:val="0"/>
              <w:adjustRightInd/>
              <w:snapToGrid/>
              <w:spacing w:after="0" w:line="240" w:lineRule="auto"/>
              <w:jc w:val="center"/>
              <w:textAlignment w:val="auto"/>
              <w:rPr>
                <w:rFonts w:ascii="Times New Roman" w:hAnsi="Times New Roman" w:eastAsia="Calibri" w:cs="Times New Roman"/>
                <w:b/>
                <w:kern w:val="0"/>
                <w:sz w:val="28"/>
                <w:szCs w:val="28"/>
                <w:lang w:val="vi-VN"/>
                <w14:ligatures w14:val="none"/>
              </w:rPr>
            </w:pPr>
            <w:r>
              <w:rPr>
                <w:rFonts w:ascii="Times New Roman" w:hAnsi="Times New Roman" w:eastAsia="Calibri" w:cs="Times New Roman"/>
                <w:b/>
                <w:kern w:val="0"/>
                <w:sz w:val="28"/>
                <w:szCs w:val="28"/>
                <w14:ligatures w14:val="none"/>
              </w:rPr>
              <mc:AlternateContent>
                <mc:Choice Requires="wps">
                  <w:drawing>
                    <wp:anchor distT="0" distB="0" distL="114300" distR="114300" simplePos="0" relativeHeight="251659264" behindDoc="0" locked="0" layoutInCell="1" allowOverlap="1">
                      <wp:simplePos x="0" y="0"/>
                      <wp:positionH relativeFrom="column">
                        <wp:posOffset>831215</wp:posOffset>
                      </wp:positionH>
                      <wp:positionV relativeFrom="paragraph">
                        <wp:posOffset>259715</wp:posOffset>
                      </wp:positionV>
                      <wp:extent cx="1568450" cy="0"/>
                      <wp:effectExtent l="0" t="0" r="0" b="0"/>
                      <wp:wrapNone/>
                      <wp:docPr id="3" name="Line 4"/>
                      <wp:cNvGraphicFramePr/>
                      <a:graphic xmlns:a="http://schemas.openxmlformats.org/drawingml/2006/main">
                        <a:graphicData uri="http://schemas.microsoft.com/office/word/2010/wordprocessingShape">
                          <wps:wsp>
                            <wps:cNvCnPr/>
                            <wps:spPr bwMode="auto">
                              <a:xfrm>
                                <a:off x="0" y="0"/>
                                <a:ext cx="1568450" cy="0"/>
                              </a:xfrm>
                              <a:prstGeom prst="line">
                                <a:avLst/>
                              </a:prstGeom>
                              <a:noFill/>
                              <a:ln w="9525">
                                <a:solidFill>
                                  <a:srgbClr val="000000"/>
                                </a:solidFill>
                                <a:round/>
                              </a:ln>
                            </wps:spPr>
                            <wps:bodyPr/>
                          </wps:wsp>
                        </a:graphicData>
                      </a:graphic>
                    </wp:anchor>
                  </w:drawing>
                </mc:Choice>
                <mc:Fallback>
                  <w:pict>
                    <v:line id="Line 4" o:spid="_x0000_s1026" o:spt="20" style="position:absolute;left:0pt;margin-left:65.45pt;margin-top:20.45pt;height:0pt;width:123.5pt;z-index:251659264;mso-width-relative:page;mso-height-relative:page;" filled="f" stroked="t" coordsize="21600,21600" o:gfxdata="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DvfDm/VAAAA&#10;CQEAAA8AAAAAAAAAAQAgAAAAIgAAAGRycy9kb3ducmV2LnhtbFBLAQIUABQAAAAIAIdO4kC4sKic&#10;rgEAAG0DAAAOAAAAAAAAAAEAIAAAACQBAABkcnMvZTJvRG9jLnhtbFBLBQYAAAAABgAGAFkBAABE&#10;BQAAAAA=&#10;">
                      <v:fill on="f" focussize="0,0"/>
                      <v:stroke color="#000000" joinstyle="round"/>
                      <v:imagedata o:title=""/>
                      <o:lock v:ext="edit" aspectratio="f"/>
                    </v:line>
                  </w:pict>
                </mc:Fallback>
              </mc:AlternateContent>
            </w:r>
            <w:r>
              <w:rPr>
                <w:rFonts w:ascii="Times New Roman" w:hAnsi="Times New Roman" w:eastAsia="Calibri" w:cs="Times New Roman"/>
                <w:kern w:val="0"/>
                <w:sz w:val="28"/>
                <w:szCs w:val="28"/>
                <w14:ligatures w14:val="none"/>
              </w:rPr>
              <w:br w:type="page"/>
            </w:r>
            <w:r>
              <w:rPr>
                <w:rFonts w:ascii="Times New Roman" w:hAnsi="Times New Roman" w:eastAsia="Calibri" w:cs="Times New Roman"/>
                <w:b/>
                <w:kern w:val="0"/>
                <w:sz w:val="28"/>
                <w:szCs w:val="28"/>
                <w:lang w:val="de-DE"/>
                <w14:ligatures w14:val="none"/>
              </w:rPr>
              <w:t>BỘ NÔNG</w:t>
            </w:r>
            <w:r>
              <w:rPr>
                <w:rFonts w:ascii="Times New Roman" w:hAnsi="Times New Roman" w:eastAsia="Calibri" w:cs="Times New Roman"/>
                <w:b/>
                <w:kern w:val="0"/>
                <w:sz w:val="28"/>
                <w:szCs w:val="28"/>
                <w:lang w:val="vi-VN"/>
                <w14:ligatures w14:val="none"/>
              </w:rPr>
              <w:t xml:space="preserve"> NGHIỆP VÀ MÔI TRƯỜNG</w:t>
            </w:r>
          </w:p>
          <w:p w14:paraId="25FD9C1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Calibri" w:cs="Times New Roman"/>
                <w:spacing w:val="-6"/>
                <w:kern w:val="0"/>
                <w:sz w:val="28"/>
                <w:szCs w:val="28"/>
                <w:lang w:val="nl-NL"/>
                <w14:ligatures w14:val="none"/>
              </w:rPr>
            </w:pPr>
          </w:p>
          <w:p w14:paraId="0D59E77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Calibri" w:cs="Times New Roman"/>
                <w:b/>
                <w:kern w:val="0"/>
                <w:sz w:val="28"/>
                <w:szCs w:val="28"/>
                <w:lang w:val="de-DE"/>
                <w14:ligatures w14:val="none"/>
              </w:rPr>
            </w:pPr>
          </w:p>
        </w:tc>
        <w:tc>
          <w:tcPr>
            <w:tcW w:w="8542" w:type="dxa"/>
          </w:tcPr>
          <w:p w14:paraId="4D1264AD">
            <w:pPr>
              <w:keepNext w:val="0"/>
              <w:keepLines w:val="0"/>
              <w:pageBreakBefore w:val="0"/>
              <w:widowControl w:val="0"/>
              <w:tabs>
                <w:tab w:val="center" w:pos="1418"/>
                <w:tab w:val="center" w:pos="6521"/>
              </w:tabs>
              <w:kinsoku/>
              <w:wordWrap/>
              <w:overflowPunct/>
              <w:topLinePunct w:val="0"/>
              <w:autoSpaceDE/>
              <w:autoSpaceDN/>
              <w:bidi w:val="0"/>
              <w:adjustRightInd/>
              <w:snapToGrid/>
              <w:spacing w:after="0" w:line="240" w:lineRule="auto"/>
              <w:jc w:val="center"/>
              <w:textAlignment w:val="auto"/>
              <w:outlineLvl w:val="1"/>
              <w:rPr>
                <w:rFonts w:ascii="Times New Roman" w:hAnsi="Times New Roman" w:eastAsia="Times New Roman" w:cs="Times New Roman"/>
                <w:b/>
                <w:kern w:val="0"/>
                <w:sz w:val="28"/>
                <w:szCs w:val="28"/>
                <w:lang w:val="de-DE"/>
                <w14:ligatures w14:val="none"/>
              </w:rPr>
            </w:pPr>
            <w:r>
              <w:rPr>
                <w:rFonts w:ascii="Times New Roman" w:hAnsi="Times New Roman" w:eastAsia="Times New Roman" w:cs="Times New Roman"/>
                <w:b/>
                <w:kern w:val="0"/>
                <w:sz w:val="28"/>
                <w:szCs w:val="28"/>
                <w:lang w:val="de-DE"/>
                <w14:ligatures w14:val="none"/>
              </w:rPr>
              <w:t>CỘNG HOÀ XÃ HỘI CHỦ NGHĨA VIỆT NAM</w:t>
            </w:r>
          </w:p>
          <w:p w14:paraId="55AD1883">
            <w:pPr>
              <w:keepNext w:val="0"/>
              <w:keepLines w:val="0"/>
              <w:pageBreakBefore w:val="0"/>
              <w:widowControl w:val="0"/>
              <w:tabs>
                <w:tab w:val="center" w:pos="1418"/>
                <w:tab w:val="center" w:pos="6521"/>
              </w:tabs>
              <w:kinsoku/>
              <w:wordWrap/>
              <w:overflowPunct/>
              <w:topLinePunct w:val="0"/>
              <w:autoSpaceDE/>
              <w:autoSpaceDN/>
              <w:bidi w:val="0"/>
              <w:adjustRightInd/>
              <w:snapToGrid/>
              <w:spacing w:after="0" w:line="240" w:lineRule="auto"/>
              <w:jc w:val="center"/>
              <w:textAlignment w:val="auto"/>
              <w:rPr>
                <w:rFonts w:ascii="Times New Roman" w:hAnsi="Times New Roman" w:eastAsia="Calibri" w:cs="Times New Roman"/>
                <w:b/>
                <w:kern w:val="0"/>
                <w:sz w:val="28"/>
                <w:szCs w:val="28"/>
                <w:lang w:val="de-DE"/>
                <w14:ligatures w14:val="none"/>
              </w:rPr>
            </w:pPr>
            <w:r>
              <w:rPr>
                <w:rFonts w:ascii="Times New Roman" w:hAnsi="Times New Roman" w:eastAsia="Calibri" w:cs="Times New Roman"/>
                <w:b/>
                <w:kern w:val="0"/>
                <w:sz w:val="28"/>
                <w:szCs w:val="28"/>
                <w:lang w:val="de-DE"/>
                <w14:ligatures w14:val="none"/>
              </w:rPr>
              <w:t>Độc lập - Tự do - Hạnh phúc</w:t>
            </w:r>
          </w:p>
          <w:p w14:paraId="6C92475B">
            <w:pPr>
              <w:keepNext w:val="0"/>
              <w:keepLines w:val="0"/>
              <w:pageBreakBefore w:val="0"/>
              <w:widowControl w:val="0"/>
              <w:tabs>
                <w:tab w:val="center" w:pos="1418"/>
                <w:tab w:val="center" w:pos="6521"/>
              </w:tabs>
              <w:kinsoku/>
              <w:wordWrap/>
              <w:overflowPunct/>
              <w:topLinePunct w:val="0"/>
              <w:autoSpaceDE/>
              <w:autoSpaceDN/>
              <w:bidi w:val="0"/>
              <w:adjustRightInd/>
              <w:snapToGrid/>
              <w:spacing w:after="0" w:line="240" w:lineRule="auto"/>
              <w:jc w:val="center"/>
              <w:textAlignment w:val="auto"/>
              <w:outlineLvl w:val="0"/>
              <w:rPr>
                <w:rFonts w:ascii="Times New Roman" w:hAnsi="Times New Roman" w:eastAsia="Times New Roman" w:cs="Times New Roman"/>
                <w:i/>
                <w:kern w:val="0"/>
                <w:sz w:val="28"/>
                <w:szCs w:val="28"/>
                <w:lang w:val="de-DE"/>
                <w14:ligatures w14:val="none"/>
              </w:rPr>
            </w:pPr>
            <w:r>
              <w:rPr>
                <w:rFonts w:ascii="Times New Roman" w:hAnsi="Times New Roman" w:eastAsia="Calibri" w:cs="Times New Roman"/>
                <w:b/>
                <w:kern w:val="0"/>
                <w:sz w:val="28"/>
                <w:szCs w:val="28"/>
                <w14:ligatures w14:val="none"/>
              </w:rPr>
              <mc:AlternateContent>
                <mc:Choice Requires="wps">
                  <w:drawing>
                    <wp:anchor distT="0" distB="0" distL="114300" distR="114300" simplePos="0" relativeHeight="251660288" behindDoc="0" locked="0" layoutInCell="1" allowOverlap="1">
                      <wp:simplePos x="0" y="0"/>
                      <wp:positionH relativeFrom="column">
                        <wp:posOffset>1085215</wp:posOffset>
                      </wp:positionH>
                      <wp:positionV relativeFrom="paragraph">
                        <wp:posOffset>80010</wp:posOffset>
                      </wp:positionV>
                      <wp:extent cx="2110740" cy="7620"/>
                      <wp:effectExtent l="0" t="0" r="22860" b="30480"/>
                      <wp:wrapNone/>
                      <wp:docPr id="2" name="Line 3"/>
                      <wp:cNvGraphicFramePr/>
                      <a:graphic xmlns:a="http://schemas.openxmlformats.org/drawingml/2006/main">
                        <a:graphicData uri="http://schemas.microsoft.com/office/word/2010/wordprocessingShape">
                          <wps:wsp>
                            <wps:cNvCnPr/>
                            <wps:spPr bwMode="auto">
                              <a:xfrm>
                                <a:off x="0" y="0"/>
                                <a:ext cx="2110740" cy="762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85.45pt;margin-top:6.3pt;height:0.6pt;width:166.2pt;z-index:251660288;mso-width-relative:page;mso-height-relative:page;" filled="f" stroked="t" coordsize="21600,21600" o:gfxdata="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OEQ&#10;4fzWAAAACQEAAA8AAAAAAAAAAQAgAAAAIgAAAGRycy9kb3ducmV2LnhtbFBLAQIUABQAAAAIAIdO&#10;4kDD9I+0swEAAHADAAAOAAAAAAAAAAEAIAAAACUBAABkcnMvZTJvRG9jLnhtbFBLBQYAAAAABgAG&#10;AFkBAABKBQAAAAA=&#10;">
                      <v:fill on="f" focussize="0,0"/>
                      <v:stroke color="#000000" joinstyle="round"/>
                      <v:imagedata o:title=""/>
                      <o:lock v:ext="edit" aspectratio="f"/>
                    </v:line>
                  </w:pict>
                </mc:Fallback>
              </mc:AlternateContent>
            </w:r>
          </w:p>
          <w:p w14:paraId="42C8723B">
            <w:pPr>
              <w:keepNext w:val="0"/>
              <w:keepLines w:val="0"/>
              <w:pageBreakBefore w:val="0"/>
              <w:widowControl w:val="0"/>
              <w:tabs>
                <w:tab w:val="center" w:pos="1418"/>
                <w:tab w:val="center" w:pos="6521"/>
              </w:tabs>
              <w:kinsoku/>
              <w:wordWrap/>
              <w:overflowPunct/>
              <w:topLinePunct w:val="0"/>
              <w:autoSpaceDE/>
              <w:autoSpaceDN/>
              <w:bidi w:val="0"/>
              <w:adjustRightInd/>
              <w:snapToGrid/>
              <w:spacing w:after="0" w:line="240" w:lineRule="auto"/>
              <w:jc w:val="center"/>
              <w:textAlignment w:val="auto"/>
              <w:outlineLvl w:val="0"/>
              <w:rPr>
                <w:rFonts w:ascii="Times New Roman" w:hAnsi="Times New Roman" w:eastAsia="Times New Roman" w:cs="Times New Roman"/>
                <w:b/>
                <w:i/>
                <w:kern w:val="0"/>
                <w:sz w:val="28"/>
                <w:szCs w:val="28"/>
                <w:lang w:val="de-DE"/>
                <w14:ligatures w14:val="none"/>
              </w:rPr>
            </w:pPr>
            <w:r>
              <w:rPr>
                <w:rFonts w:ascii="Times New Roman" w:hAnsi="Times New Roman" w:eastAsia="Times New Roman" w:cs="Times New Roman"/>
                <w:i/>
                <w:kern w:val="0"/>
                <w:sz w:val="28"/>
                <w:szCs w:val="28"/>
                <w:lang w:val="vi-VN"/>
                <w14:ligatures w14:val="none"/>
              </w:rPr>
              <w:t xml:space="preserve">                                    </w:t>
            </w:r>
            <w:r>
              <w:rPr>
                <w:rFonts w:ascii="Times New Roman" w:hAnsi="Times New Roman" w:eastAsia="Times New Roman" w:cs="Times New Roman"/>
                <w:i/>
                <w:kern w:val="0"/>
                <w:sz w:val="28"/>
                <w:szCs w:val="28"/>
                <w:lang w:val="de-DE"/>
                <w14:ligatures w14:val="none"/>
              </w:rPr>
              <w:t xml:space="preserve">Hà Nội, ngày       tháng  </w:t>
            </w:r>
            <w:r>
              <w:rPr>
                <w:rFonts w:hint="default" w:ascii="Times New Roman" w:hAnsi="Times New Roman" w:eastAsia="Times New Roman" w:cs="Times New Roman"/>
                <w:i/>
                <w:kern w:val="0"/>
                <w:sz w:val="28"/>
                <w:szCs w:val="28"/>
                <w:lang w:val="en-US"/>
                <w14:ligatures w14:val="none"/>
              </w:rPr>
              <w:t>7</w:t>
            </w:r>
            <w:bookmarkStart w:id="0" w:name="_GoBack"/>
            <w:bookmarkEnd w:id="0"/>
            <w:r>
              <w:rPr>
                <w:rFonts w:ascii="Times New Roman" w:hAnsi="Times New Roman" w:eastAsia="Times New Roman" w:cs="Times New Roman"/>
                <w:i/>
                <w:kern w:val="0"/>
                <w:sz w:val="28"/>
                <w:szCs w:val="28"/>
                <w:lang w:val="vi-VN"/>
                <w14:ligatures w14:val="none"/>
              </w:rPr>
              <w:t xml:space="preserve">  </w:t>
            </w:r>
            <w:r>
              <w:rPr>
                <w:rFonts w:ascii="Times New Roman" w:hAnsi="Times New Roman" w:eastAsia="Times New Roman" w:cs="Times New Roman"/>
                <w:i/>
                <w:kern w:val="0"/>
                <w:sz w:val="28"/>
                <w:szCs w:val="28"/>
                <w:lang w:val="de-DE"/>
                <w14:ligatures w14:val="none"/>
              </w:rPr>
              <w:t>năm 2026</w:t>
            </w:r>
          </w:p>
        </w:tc>
      </w:tr>
    </w:tbl>
    <w:p w14:paraId="41210563">
      <w:pPr>
        <w:spacing w:after="0" w:line="240" w:lineRule="auto"/>
        <w:jc w:val="center"/>
        <w:rPr>
          <w:rFonts w:ascii="Times New Roman" w:hAnsi="Times New Roman" w:cs="Times New Roman"/>
          <w:b/>
          <w:bCs/>
          <w:kern w:val="0"/>
          <w:sz w:val="28"/>
          <w:szCs w:val="28"/>
          <w:lang w:val="vi-VN"/>
          <w14:ligatures w14:val="none"/>
        </w:rPr>
      </w:pPr>
    </w:p>
    <w:p w14:paraId="5BE53770">
      <w:pPr>
        <w:spacing w:after="0" w:line="240" w:lineRule="auto"/>
        <w:jc w:val="center"/>
        <w:rPr>
          <w:rFonts w:ascii="Times New Roman" w:hAnsi="Times New Roman" w:cs="Times New Roman"/>
          <w:b/>
          <w:bCs/>
          <w:kern w:val="0"/>
          <w:sz w:val="28"/>
          <w:szCs w:val="28"/>
          <w:lang w:val="vi-VN"/>
          <w14:ligatures w14:val="none"/>
        </w:rPr>
      </w:pPr>
      <w:r>
        <w:rPr>
          <w:rFonts w:ascii="Times New Roman" w:hAnsi="Times New Roman" w:cs="Times New Roman"/>
          <w:b/>
          <w:bCs/>
          <w:kern w:val="0"/>
          <w:sz w:val="28"/>
          <w:szCs w:val="28"/>
          <w:lang w:val="vi-VN"/>
          <w14:ligatures w14:val="none"/>
        </w:rPr>
        <w:t>BẢN TỔNG HỢP, GIẢI TRÌNH, TIẾP THU Ý KIẾN CỦA CÁC ĐƠN VỊ ĐỐI VỚI DỰ THẢO</w:t>
      </w:r>
    </w:p>
    <w:p w14:paraId="531CA09F">
      <w:pPr>
        <w:spacing w:after="0" w:line="240" w:lineRule="auto"/>
        <w:jc w:val="center"/>
        <w:rPr>
          <w:rFonts w:ascii="Times New Roman" w:hAnsi="Times New Roman" w:cs="Times New Roman"/>
          <w:b/>
          <w:bCs/>
          <w:kern w:val="0"/>
          <w:sz w:val="28"/>
          <w:szCs w:val="28"/>
          <w:lang w:val="vi-VN"/>
          <w14:ligatures w14:val="none"/>
        </w:rPr>
      </w:pPr>
      <w:r>
        <w:rPr>
          <w:rFonts w:ascii="Times New Roman" w:hAnsi="Times New Roman" w:cs="Times New Roman"/>
          <w:b/>
          <w:sz w:val="28"/>
          <w:szCs w:val="28"/>
        </w:rPr>
        <w:t xml:space="preserve">BÁO CÁO TỔNG KẾT VIỆC THI HÀNH PHÁP LUẬT HIỆN HÀNH LIÊN QUAN ĐẾN NỘI DUNG NGHỊ ĐỊNH SỐ 98/2018/NĐ-CP NGÀY 05/7/2018 CỦA CHÍNH PHỦ VỀ CHÍNH SÁCH KHUYẾN KHÍCH PHÁT TRIỂN HỢP TÁC, LIÊN KẾT TRONG SẢN XUẤT VÀ TIÊU THỤ SẢN PHẨM NÔNG </w:t>
      </w:r>
      <w:r>
        <w:rPr>
          <w:rFonts w:ascii="Times New Roman" w:hAnsi="Times New Roman" w:cs="Times New Roman"/>
          <w:b/>
          <w:sz w:val="28"/>
          <w:szCs w:val="28"/>
          <w:lang w:val="vi-VN"/>
        </w:rPr>
        <w:t>NGHIỆP</w:t>
      </w:r>
    </w:p>
    <w:p w14:paraId="262B82B0">
      <w:pPr>
        <w:spacing w:after="0" w:line="240" w:lineRule="auto"/>
        <w:jc w:val="center"/>
        <w:rPr>
          <w:rFonts w:ascii="Times New Roman" w:hAnsi="Times New Roman" w:cs="Times New Roman"/>
          <w:b/>
          <w:bCs/>
          <w:kern w:val="0"/>
          <w:sz w:val="28"/>
          <w:szCs w:val="28"/>
          <w:lang w:val="vi-VN"/>
          <w14:ligatures w14:val="none"/>
        </w:rPr>
      </w:pPr>
      <w:r>
        <w:rPr>
          <w:rFonts w:ascii="Times New Roman" w:hAnsi="Times New Roman" w:cs="Times New Roman"/>
          <w:b/>
          <w:bCs/>
          <w:kern w:val="0"/>
          <w:sz w:val="28"/>
          <w:szCs w:val="28"/>
          <w:lang w:val="vi-VN"/>
          <w14:ligatures w14:val="none"/>
        </w:rPr>
        <w:t xml:space="preserve">  </w:t>
      </w:r>
    </w:p>
    <w:tbl>
      <w:tblPr>
        <w:tblStyle w:val="18"/>
        <w:tblW w:w="15232" w:type="dxa"/>
        <w:tblInd w:w="3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4041"/>
        <w:gridCol w:w="1493"/>
        <w:gridCol w:w="5205"/>
        <w:gridCol w:w="3642"/>
      </w:tblGrid>
      <w:tr w14:paraId="14F63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851" w:type="dxa"/>
            <w:shd w:val="clear" w:color="auto" w:fill="D0D0D0" w:themeFill="background2" w:themeFillShade="E5"/>
            <w:vAlign w:val="center"/>
          </w:tcPr>
          <w:p w14:paraId="1CD08A0D">
            <w:pPr>
              <w:keepNext w:val="0"/>
              <w:keepLines w:val="0"/>
              <w:pageBreakBefore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color w:val="auto"/>
                <w:sz w:val="26"/>
                <w:szCs w:val="26"/>
              </w:rPr>
            </w:pPr>
            <w:r>
              <w:rPr>
                <w:rFonts w:ascii="Times New Roman" w:hAnsi="Times New Roman" w:cs="Times New Roman"/>
                <w:b/>
                <w:color w:val="auto"/>
                <w:sz w:val="26"/>
                <w:szCs w:val="26"/>
              </w:rPr>
              <w:t>TT</w:t>
            </w:r>
          </w:p>
        </w:tc>
        <w:tc>
          <w:tcPr>
            <w:tcW w:w="4041" w:type="dxa"/>
            <w:shd w:val="clear" w:color="auto" w:fill="D0D0D0" w:themeFill="background2" w:themeFillShade="E5"/>
            <w:vAlign w:val="center"/>
          </w:tcPr>
          <w:p w14:paraId="074CC5E1">
            <w:pPr>
              <w:keepNext w:val="0"/>
              <w:keepLines w:val="0"/>
              <w:pageBreakBefore w:val="0"/>
              <w:kinsoku/>
              <w:wordWrap/>
              <w:overflowPunct/>
              <w:topLinePunct w:val="0"/>
              <w:autoSpaceDE/>
              <w:autoSpaceDN/>
              <w:bidi w:val="0"/>
              <w:adjustRightInd/>
              <w:snapToGrid/>
              <w:spacing w:after="0" w:line="240" w:lineRule="auto"/>
              <w:jc w:val="center"/>
              <w:textAlignment w:val="auto"/>
              <w:rPr>
                <w:rFonts w:ascii="Times New Roman" w:hAnsi="Times New Roman" w:eastAsia="Times New Roman" w:cs="Times New Roman"/>
                <w:b/>
                <w:color w:val="auto"/>
                <w:sz w:val="26"/>
                <w:szCs w:val="26"/>
                <w:lang w:val="vi-VN"/>
              </w:rPr>
            </w:pPr>
            <w:r>
              <w:rPr>
                <w:rFonts w:ascii="Times New Roman" w:hAnsi="Times New Roman" w:eastAsia="Times New Roman" w:cs="Times New Roman"/>
                <w:b/>
                <w:color w:val="auto"/>
                <w:sz w:val="26"/>
                <w:szCs w:val="26"/>
                <w:lang w:val="vi-VN"/>
              </w:rPr>
              <w:t>Nội dung báo cáo</w:t>
            </w:r>
          </w:p>
        </w:tc>
        <w:tc>
          <w:tcPr>
            <w:tcW w:w="1493" w:type="dxa"/>
            <w:shd w:val="clear" w:color="auto" w:fill="D0D0D0" w:themeFill="background2" w:themeFillShade="E5"/>
            <w:vAlign w:val="center"/>
          </w:tcPr>
          <w:p w14:paraId="27500236">
            <w:pPr>
              <w:keepNext w:val="0"/>
              <w:keepLines w:val="0"/>
              <w:pageBreakBefore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color w:val="auto"/>
                <w:sz w:val="26"/>
                <w:szCs w:val="26"/>
                <w:lang w:val="vi-VN"/>
              </w:rPr>
            </w:pPr>
            <w:r>
              <w:rPr>
                <w:rFonts w:ascii="Times New Roman" w:hAnsi="Times New Roman" w:cs="Times New Roman"/>
                <w:b/>
                <w:color w:val="auto"/>
                <w:sz w:val="26"/>
                <w:szCs w:val="26"/>
                <w:lang w:val="vi-VN"/>
              </w:rPr>
              <w:t>Tên đơn vị</w:t>
            </w:r>
          </w:p>
        </w:tc>
        <w:tc>
          <w:tcPr>
            <w:tcW w:w="5205" w:type="dxa"/>
            <w:shd w:val="clear" w:color="auto" w:fill="D0D0D0" w:themeFill="background2" w:themeFillShade="E5"/>
            <w:vAlign w:val="center"/>
          </w:tcPr>
          <w:p w14:paraId="4371914E">
            <w:pPr>
              <w:keepNext w:val="0"/>
              <w:keepLines w:val="0"/>
              <w:pageBreakBefore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color w:val="auto"/>
                <w:sz w:val="26"/>
                <w:szCs w:val="26"/>
                <w:lang w:val="vi-VN"/>
              </w:rPr>
            </w:pPr>
            <w:r>
              <w:rPr>
                <w:rFonts w:ascii="Times New Roman" w:hAnsi="Times New Roman" w:cs="Times New Roman"/>
                <w:b/>
                <w:color w:val="auto"/>
                <w:sz w:val="26"/>
                <w:szCs w:val="26"/>
                <w:lang w:val="vi-VN"/>
              </w:rPr>
              <w:t>Ý kiến góp ý</w:t>
            </w:r>
          </w:p>
        </w:tc>
        <w:tc>
          <w:tcPr>
            <w:tcW w:w="3642" w:type="dxa"/>
            <w:shd w:val="clear" w:color="auto" w:fill="D0D0D0" w:themeFill="background2" w:themeFillShade="E5"/>
            <w:vAlign w:val="center"/>
          </w:tcPr>
          <w:p w14:paraId="76E0464F">
            <w:pPr>
              <w:keepNext w:val="0"/>
              <w:keepLines w:val="0"/>
              <w:pageBreakBefore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color w:val="auto"/>
                <w:sz w:val="26"/>
                <w:szCs w:val="26"/>
                <w:lang w:val="vi-VN"/>
              </w:rPr>
            </w:pPr>
            <w:r>
              <w:rPr>
                <w:rFonts w:ascii="Times New Roman" w:hAnsi="Times New Roman" w:cs="Times New Roman"/>
                <w:b/>
                <w:color w:val="auto"/>
                <w:sz w:val="26"/>
                <w:szCs w:val="26"/>
                <w:lang w:val="vi-VN"/>
              </w:rPr>
              <w:t>Ý kiến giải trình</w:t>
            </w:r>
          </w:p>
        </w:tc>
      </w:tr>
      <w:tr w14:paraId="513A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1" w:type="dxa"/>
          </w:tcPr>
          <w:p w14:paraId="43BEA61F">
            <w:pPr>
              <w:keepNext w:val="0"/>
              <w:keepLines w:val="0"/>
              <w:pageBreakBefore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color w:val="auto"/>
                <w:sz w:val="26"/>
                <w:szCs w:val="26"/>
                <w:lang w:val="vi-VN"/>
              </w:rPr>
            </w:pPr>
            <w:r>
              <w:rPr>
                <w:rFonts w:ascii="Times New Roman" w:hAnsi="Times New Roman" w:cs="Times New Roman"/>
                <w:color w:val="auto"/>
                <w:sz w:val="26"/>
                <w:szCs w:val="26"/>
                <w:lang w:val="vi-VN"/>
              </w:rPr>
              <w:t>1</w:t>
            </w:r>
          </w:p>
        </w:tc>
        <w:tc>
          <w:tcPr>
            <w:tcW w:w="4041" w:type="dxa"/>
            <w:vAlign w:val="top"/>
          </w:tcPr>
          <w:p w14:paraId="2C149353">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cs="Times New Roman"/>
                <w:color w:val="auto"/>
                <w:sz w:val="26"/>
                <w:szCs w:val="26"/>
              </w:rPr>
            </w:pPr>
            <w:r>
              <w:rPr>
                <w:rFonts w:ascii="Times New Roman" w:hAnsi="Times New Roman" w:cs="Times New Roman"/>
                <w:color w:val="auto"/>
                <w:sz w:val="26"/>
                <w:szCs w:val="26"/>
              </w:rPr>
              <w:t xml:space="preserve">Phần II “Kết quả thực hiện” của Báo cáo tổng kết việc thi hành pháp luật hiện hành liên quan đến nội dung Nghị định số 98/2018/NĐ-CP ngày 05/7/2018 của Chính phủ về chính sách khuyến khích phát triển hợp tác, liên kết trong sản xuất và tiêu thụ sản phẩm nông </w:t>
            </w:r>
            <w:r>
              <w:rPr>
                <w:rFonts w:ascii="Times New Roman" w:hAnsi="Times New Roman" w:cs="Times New Roman"/>
                <w:color w:val="auto"/>
                <w:sz w:val="26"/>
                <w:szCs w:val="26"/>
                <w:lang w:val="vi-VN"/>
              </w:rPr>
              <w:t>nghiệp,</w:t>
            </w:r>
            <w:r>
              <w:rPr>
                <w:rFonts w:ascii="Times New Roman" w:hAnsi="Times New Roman" w:cs="Times New Roman"/>
                <w:color w:val="auto"/>
                <w:sz w:val="26"/>
                <w:szCs w:val="26"/>
              </w:rPr>
              <w:t xml:space="preserve"> </w:t>
            </w:r>
            <w:r>
              <w:rPr>
                <w:rFonts w:ascii="Times New Roman" w:hAnsi="Times New Roman" w:cs="Times New Roman"/>
                <w:color w:val="auto"/>
                <w:sz w:val="26"/>
                <w:szCs w:val="26"/>
                <w:lang w:val="vi-VN"/>
              </w:rPr>
              <w:t>T</w:t>
            </w:r>
            <w:r>
              <w:rPr>
                <w:rFonts w:ascii="Times New Roman" w:hAnsi="Times New Roman" w:cs="Times New Roman"/>
                <w:color w:val="auto"/>
                <w:sz w:val="26"/>
                <w:szCs w:val="26"/>
              </w:rPr>
              <w:t xml:space="preserve">ại mục 3.2 </w:t>
            </w:r>
            <w:r>
              <w:rPr>
                <w:rFonts w:ascii="Times New Roman" w:hAnsi="Times New Roman" w:cs="Times New Roman"/>
                <w:color w:val="auto"/>
                <w:sz w:val="26"/>
                <w:szCs w:val="26"/>
                <w:lang w:val="vi-VN"/>
              </w:rPr>
              <w:t>V</w:t>
            </w:r>
            <w:r>
              <w:rPr>
                <w:rFonts w:ascii="Times New Roman" w:hAnsi="Times New Roman" w:cs="Times New Roman"/>
                <w:color w:val="auto"/>
                <w:sz w:val="26"/>
                <w:szCs w:val="26"/>
              </w:rPr>
              <w:t>ề tồn tại, hạn chế trong thực hiện Nghị định số 98/2018/NĐ-</w:t>
            </w:r>
            <w:r>
              <w:rPr>
                <w:rFonts w:ascii="Times New Roman" w:hAnsi="Times New Roman" w:cs="Times New Roman"/>
                <w:color w:val="auto"/>
                <w:sz w:val="26"/>
                <w:szCs w:val="26"/>
                <w:lang w:val="vi-VN"/>
              </w:rPr>
              <w:t>CP gồm các hạn chế sau:</w:t>
            </w:r>
          </w:p>
          <w:p w14:paraId="5E6742A8">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eastAsia="Times New Roman" w:cs="Times New Roman"/>
                <w:iCs/>
                <w:color w:val="auto"/>
                <w:sz w:val="26"/>
                <w:szCs w:val="26"/>
              </w:rPr>
            </w:pPr>
            <w:r>
              <w:rPr>
                <w:rFonts w:ascii="Times New Roman" w:hAnsi="Times New Roman" w:eastAsia="Times New Roman" w:cs="Times New Roman"/>
                <w:color w:val="auto"/>
                <w:sz w:val="26"/>
                <w:szCs w:val="26"/>
              </w:rPr>
              <w:t xml:space="preserve">(i) Cách tiếp cận chính sách còn đơn giản, chưa theo chuỗi giá </w:t>
            </w:r>
            <w:r>
              <w:rPr>
                <w:rFonts w:ascii="Times New Roman" w:hAnsi="Times New Roman" w:eastAsia="Times New Roman" w:cs="Times New Roman"/>
                <w:color w:val="auto"/>
                <w:sz w:val="26"/>
                <w:szCs w:val="26"/>
                <w:lang w:val="vi-VN"/>
              </w:rPr>
              <w:t>trị.</w:t>
            </w:r>
          </w:p>
          <w:p w14:paraId="3A751E8B">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eastAsia="Times New Roman" w:cs="Times New Roman"/>
                <w:iCs/>
                <w:color w:val="auto"/>
                <w:sz w:val="26"/>
                <w:szCs w:val="26"/>
              </w:rPr>
            </w:pPr>
            <w:r>
              <w:rPr>
                <w:rFonts w:ascii="Times New Roman" w:hAnsi="Times New Roman" w:eastAsia="Times New Roman" w:cs="Times New Roman"/>
                <w:color w:val="auto"/>
                <w:sz w:val="26"/>
                <w:szCs w:val="26"/>
              </w:rPr>
              <w:t xml:space="preserve">(ii) Chính sách chưa phản ánh đầy đủ thực tiễn tổ chức thị trường nông </w:t>
            </w:r>
            <w:r>
              <w:rPr>
                <w:rFonts w:ascii="Times New Roman" w:hAnsi="Times New Roman" w:eastAsia="Times New Roman" w:cs="Times New Roman"/>
                <w:color w:val="auto"/>
                <w:sz w:val="26"/>
                <w:szCs w:val="26"/>
                <w:lang w:val="vi-VN"/>
              </w:rPr>
              <w:t>sản.</w:t>
            </w:r>
          </w:p>
          <w:p w14:paraId="3A218979">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eastAsia="Times New Roman" w:cs="Times New Roman"/>
                <w:iCs/>
                <w:color w:val="auto"/>
                <w:sz w:val="26"/>
                <w:szCs w:val="26"/>
              </w:rPr>
            </w:pPr>
            <w:r>
              <w:rPr>
                <w:rFonts w:ascii="Times New Roman" w:hAnsi="Times New Roman" w:eastAsia="Times New Roman" w:cs="Times New Roman"/>
                <w:color w:val="auto"/>
                <w:sz w:val="26"/>
                <w:szCs w:val="26"/>
              </w:rPr>
              <w:t xml:space="preserve">(iii) Tổ chức liên kết còn hình thức, thiếu bền </w:t>
            </w:r>
            <w:r>
              <w:rPr>
                <w:rFonts w:ascii="Times New Roman" w:hAnsi="Times New Roman" w:eastAsia="Times New Roman" w:cs="Times New Roman"/>
                <w:color w:val="auto"/>
                <w:sz w:val="26"/>
                <w:szCs w:val="26"/>
                <w:lang w:val="vi-VN"/>
              </w:rPr>
              <w:t>vững.</w:t>
            </w:r>
          </w:p>
          <w:p w14:paraId="33A3ABAB">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eastAsia="Times New Roman" w:cs="Times New Roman"/>
                <w:iCs/>
                <w:color w:val="auto"/>
                <w:sz w:val="26"/>
                <w:szCs w:val="26"/>
                <w:lang w:val="vi-VN"/>
              </w:rPr>
            </w:pPr>
            <w:r>
              <w:rPr>
                <w:rFonts w:ascii="Times New Roman" w:hAnsi="Times New Roman" w:eastAsia="Times New Roman" w:cs="Times New Roman"/>
                <w:color w:val="auto"/>
                <w:sz w:val="26"/>
                <w:szCs w:val="26"/>
              </w:rPr>
              <w:t xml:space="preserve">(iv) Chưa hình thành được vùng nguyên liệu nông sản tập trung, đạt </w:t>
            </w:r>
            <w:r>
              <w:rPr>
                <w:rFonts w:ascii="Times New Roman" w:hAnsi="Times New Roman" w:eastAsia="Times New Roman" w:cs="Times New Roman"/>
                <w:color w:val="auto"/>
                <w:sz w:val="26"/>
                <w:szCs w:val="26"/>
                <w:lang w:val="vi-VN"/>
              </w:rPr>
              <w:t>chuẩn.</w:t>
            </w:r>
          </w:p>
          <w:p w14:paraId="2160E3E2">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eastAsia="Times New Roman" w:cs="Times New Roman"/>
                <w:iCs/>
                <w:color w:val="auto"/>
                <w:sz w:val="26"/>
                <w:szCs w:val="26"/>
                <w:lang w:val="vi-VN"/>
              </w:rPr>
            </w:pPr>
            <w:r>
              <w:rPr>
                <w:rFonts w:ascii="Times New Roman" w:hAnsi="Times New Roman" w:eastAsia="Times New Roman" w:cs="Times New Roman"/>
                <w:color w:val="auto"/>
                <w:sz w:val="26"/>
                <w:szCs w:val="26"/>
              </w:rPr>
              <w:t xml:space="preserve">(v) Chính sách hỗ trợ chưa đủ mạnh, chưa đúng trọng </w:t>
            </w:r>
            <w:r>
              <w:rPr>
                <w:rFonts w:ascii="Times New Roman" w:hAnsi="Times New Roman" w:eastAsia="Times New Roman" w:cs="Times New Roman"/>
                <w:color w:val="auto"/>
                <w:sz w:val="26"/>
                <w:szCs w:val="26"/>
                <w:lang w:val="vi-VN"/>
              </w:rPr>
              <w:t>tâm.</w:t>
            </w:r>
          </w:p>
          <w:p w14:paraId="1D130668">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eastAsia="Times New Roman" w:cs="Times New Roman"/>
                <w:iCs/>
                <w:color w:val="auto"/>
                <w:sz w:val="26"/>
                <w:szCs w:val="26"/>
                <w:lang w:val="vi-VN"/>
              </w:rPr>
            </w:pPr>
            <w:r>
              <w:rPr>
                <w:rFonts w:ascii="Times New Roman" w:hAnsi="Times New Roman" w:eastAsia="Times New Roman" w:cs="Times New Roman"/>
                <w:color w:val="auto"/>
                <w:sz w:val="26"/>
                <w:szCs w:val="26"/>
              </w:rPr>
              <w:t xml:space="preserve">(vii) Chưa tích hợp các yêu cầu phát triển mới: chuyển đổi số, chuyển đổi </w:t>
            </w:r>
            <w:r>
              <w:rPr>
                <w:rFonts w:ascii="Times New Roman" w:hAnsi="Times New Roman" w:eastAsia="Times New Roman" w:cs="Times New Roman"/>
                <w:color w:val="auto"/>
                <w:sz w:val="26"/>
                <w:szCs w:val="26"/>
                <w:lang w:val="vi-VN"/>
              </w:rPr>
              <w:t>xanh.</w:t>
            </w:r>
          </w:p>
          <w:p w14:paraId="03F7C071">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eastAsia="Times New Roman" w:cs="Times New Roman"/>
                <w:iCs/>
                <w:color w:val="auto"/>
                <w:sz w:val="26"/>
                <w:szCs w:val="26"/>
              </w:rPr>
            </w:pPr>
            <w:r>
              <w:rPr>
                <w:rFonts w:ascii="Times New Roman" w:hAnsi="Times New Roman" w:eastAsia="Times New Roman" w:cs="Times New Roman"/>
                <w:color w:val="auto"/>
                <w:sz w:val="26"/>
                <w:szCs w:val="26"/>
              </w:rPr>
              <w:t xml:space="preserve">(viii) Công cụ quản trị nhà nước còn hạn </w:t>
            </w:r>
            <w:r>
              <w:rPr>
                <w:rFonts w:ascii="Times New Roman" w:hAnsi="Times New Roman" w:eastAsia="Times New Roman" w:cs="Times New Roman"/>
                <w:color w:val="auto"/>
                <w:sz w:val="26"/>
                <w:szCs w:val="26"/>
                <w:lang w:val="vi-VN"/>
              </w:rPr>
              <w:t>chế.</w:t>
            </w:r>
          </w:p>
        </w:tc>
        <w:tc>
          <w:tcPr>
            <w:tcW w:w="1493" w:type="dxa"/>
            <w:vAlign w:val="top"/>
          </w:tcPr>
          <w:p w14:paraId="529E65F9">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cs="Times New Roman"/>
                <w:color w:val="auto"/>
                <w:sz w:val="26"/>
                <w:szCs w:val="26"/>
              </w:rPr>
            </w:pPr>
            <w:r>
              <w:rPr>
                <w:rFonts w:ascii="Times New Roman" w:hAnsi="Times New Roman" w:cs="Times New Roman"/>
                <w:color w:val="auto"/>
                <w:sz w:val="26"/>
                <w:szCs w:val="26"/>
              </w:rPr>
              <w:t>Cục Trồng trọt và Bảo vệ thực vật</w:t>
            </w:r>
          </w:p>
        </w:tc>
        <w:tc>
          <w:tcPr>
            <w:tcW w:w="5205" w:type="dxa"/>
            <w:vAlign w:val="top"/>
          </w:tcPr>
          <w:p w14:paraId="0F665F8A">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cs="Times New Roman"/>
                <w:color w:val="auto"/>
                <w:sz w:val="26"/>
                <w:szCs w:val="26"/>
              </w:rPr>
            </w:pPr>
            <w:r>
              <w:rPr>
                <w:rFonts w:ascii="Times New Roman" w:hAnsi="Times New Roman" w:cs="Times New Roman"/>
                <w:color w:val="auto"/>
                <w:sz w:val="26"/>
                <w:szCs w:val="26"/>
              </w:rPr>
              <w:t xml:space="preserve">Báo cáo Tổng kết việc thi hành pháp luật hiện hành liên quan đến nội dung Nghị định số 98/2018/NĐ-CP ngày 05/07/2018 của Chính phủ về chính sách khuyến khích phát triển hợp tác, liên kết trong sản xuất và tiêu thụ sản phẩm nông nghiệp, tại trang 18 bổ sung phần hạn chế: </w:t>
            </w:r>
          </w:p>
          <w:p w14:paraId="6548E42B">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cs="Times New Roman"/>
                <w:color w:val="auto"/>
                <w:sz w:val="26"/>
                <w:szCs w:val="26"/>
              </w:rPr>
            </w:pPr>
            <w:r>
              <w:rPr>
                <w:rFonts w:ascii="Times New Roman" w:hAnsi="Times New Roman" w:cs="Times New Roman"/>
                <w:color w:val="auto"/>
                <w:sz w:val="26"/>
                <w:szCs w:val="26"/>
              </w:rPr>
              <w:t xml:space="preserve">- Cơ chế hỗ trợ còn dàn trải, thủ tục phức tạp, khó tiếp cận; </w:t>
            </w:r>
          </w:p>
          <w:p w14:paraId="1EED75EA">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cs="Times New Roman"/>
                <w:color w:val="auto"/>
                <w:sz w:val="26"/>
                <w:szCs w:val="26"/>
              </w:rPr>
            </w:pPr>
            <w:r>
              <w:rPr>
                <w:rFonts w:ascii="Times New Roman" w:hAnsi="Times New Roman" w:cs="Times New Roman"/>
                <w:color w:val="auto"/>
                <w:sz w:val="26"/>
                <w:szCs w:val="26"/>
              </w:rPr>
              <w:t>- Nội dung liên kết chưa theo kịp yêu cầu phát triển nông nghiệp hiện đại;</w:t>
            </w:r>
          </w:p>
          <w:p w14:paraId="21BAE0C5">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cs="Times New Roman"/>
                <w:color w:val="auto"/>
                <w:sz w:val="26"/>
                <w:szCs w:val="26"/>
              </w:rPr>
            </w:pPr>
            <w:r>
              <w:rPr>
                <w:rFonts w:ascii="Times New Roman" w:hAnsi="Times New Roman" w:cs="Times New Roman"/>
                <w:color w:val="auto"/>
                <w:sz w:val="26"/>
                <w:szCs w:val="26"/>
              </w:rPr>
              <w:t xml:space="preserve"> - Thiếu tính linh hoạt và chưa phù hợp đặc thù từng ngành hàng, từng vùng.</w:t>
            </w:r>
          </w:p>
        </w:tc>
        <w:tc>
          <w:tcPr>
            <w:tcW w:w="3642" w:type="dxa"/>
            <w:vAlign w:val="top"/>
          </w:tcPr>
          <w:p w14:paraId="194D9AD8">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Tiếp thu. Đã bổ sung các nội dung hạn chế nêu trên vào mục 3.2 “Về tồn tại, hạn chế trong thực hiện Nghị định số 98/2018/NĐ-CP” của dự thảo Báo cáo tổng kết</w:t>
            </w:r>
          </w:p>
        </w:tc>
      </w:tr>
      <w:tr w14:paraId="70A1F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851" w:type="dxa"/>
            <w:vMerge w:val="restart"/>
          </w:tcPr>
          <w:p w14:paraId="43834C41">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2</w:t>
            </w:r>
          </w:p>
        </w:tc>
        <w:tc>
          <w:tcPr>
            <w:tcW w:w="4041" w:type="dxa"/>
            <w:vMerge w:val="restart"/>
            <w:vAlign w:val="top"/>
          </w:tcPr>
          <w:p w14:paraId="782B786F">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color w:val="auto"/>
                <w:sz w:val="26"/>
                <w:szCs w:val="26"/>
                <w:lang w:val="en-US"/>
              </w:rPr>
            </w:pPr>
          </w:p>
        </w:tc>
        <w:tc>
          <w:tcPr>
            <w:tcW w:w="1493" w:type="dxa"/>
            <w:shd w:val="clear" w:color="auto" w:fill="auto"/>
            <w:vAlign w:val="top"/>
          </w:tcPr>
          <w:p w14:paraId="4258DF5B">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eastAsiaTheme="minorHAnsi"/>
                <w:color w:val="auto"/>
                <w:kern w:val="2"/>
                <w:sz w:val="26"/>
                <w:szCs w:val="26"/>
                <w:lang w:val="en-US" w:eastAsia="en-US" w:bidi="ar-SA"/>
                <w14:ligatures w14:val="standardContextual"/>
              </w:rPr>
            </w:pPr>
            <w:r>
              <w:rPr>
                <w:rFonts w:hint="default" w:ascii="Times New Roman" w:hAnsi="Times New Roman" w:cs="Times New Roman"/>
                <w:color w:val="auto"/>
                <w:sz w:val="26"/>
                <w:szCs w:val="26"/>
                <w:lang w:val="en-US"/>
              </w:rPr>
              <w:t>Bộ Ngoại giao</w:t>
            </w:r>
          </w:p>
        </w:tc>
        <w:tc>
          <w:tcPr>
            <w:tcW w:w="5205" w:type="dxa"/>
            <w:vMerge w:val="restart"/>
            <w:vAlign w:val="top"/>
          </w:tcPr>
          <w:p w14:paraId="70DB590D">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Tại mục tài liệu đính kèm dự thảo Tờ trình, Quý Bộ có liệt kê Bản rà soát các chủ trương, đường lối của Đảng, văn bản quy phạm pháp luật, điều ước quốc tế có liên quan đến dự thảo Nghị định, tuy nhiên, trong hồ sơ gửi kèm hiện chưa có báo cáo này. Do đó, đề nghị Quý Bộ rà soát, bổ sung đầy đủ hồ sơ, bảo đảm tuân thủ quy định tại khoản 2 Điều 27 Nghị định số 78/2025/NĐ-CP, được sửa đổi, bổ sung bởi Nghị định số 187/2025/NĐ-CP.</w:t>
            </w:r>
          </w:p>
          <w:p w14:paraId="37889912">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Đề nghị Quý Bộ bổ sung nội dung đánh giá tính tương thích của dự thảo Nghị định với các điều ước quốc tế mà Việt Nam là thành viên, phù hợp với quy định tại khoản 2 Điều 5 Luật Ban hành văn bản quy phạm pháp luật số 64/2025/QH15, được sửa đổi, bổ sung bởi Luật số 87/2025/QH15; trong đó lưu ý rà soát, đánh giá tính tương thích của dự thảo Nghị định với Hiệp định Nông nghiệp của WTO, Hiệp định về Trợ cấp và các Biện pháp đối kháng, các Hiệp định thương mại tự do như CPTPP, EVFTA, RCEP và các điều ước quốc tế có liên quan khác mà Việt Nam là thành viên.</w:t>
            </w:r>
          </w:p>
          <w:p w14:paraId="57394A14">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cs="Times New Roman"/>
                <w:color w:val="auto"/>
                <w:sz w:val="26"/>
                <w:szCs w:val="26"/>
                <w:lang w:val="vi-VN"/>
              </w:rPr>
            </w:pPr>
            <w:r>
              <w:rPr>
                <w:rFonts w:ascii="Times New Roman" w:hAnsi="Times New Roman" w:cs="Times New Roman"/>
                <w:color w:val="auto"/>
                <w:sz w:val="26"/>
                <w:szCs w:val="26"/>
              </w:rPr>
              <w:t>Về dự thảo Báo cáo tổng kết thi hành pháp luật: Đề nghị bổ sung phụ lục rà soát các chủ trương, đường lối của Đảng, văn bản quy phạm pháp luật, điều ước quốc tế có liên quan tại dự thảo Báo cáo tổng kết thi hành pháp luật.</w:t>
            </w:r>
          </w:p>
        </w:tc>
        <w:tc>
          <w:tcPr>
            <w:tcW w:w="3642" w:type="dxa"/>
            <w:vMerge w:val="restart"/>
            <w:vAlign w:val="top"/>
          </w:tcPr>
          <w:p w14:paraId="6699DE20">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Về đề nghị bổ sung Bản rà soát các chủ trương, đường lối của Đảng, văn bản quy phạm pháp luật, điều ước quốc tế có liên quan đến dự thảo Nghị định: Tiếp thu. Ban soạn thảo đã rà soát, bổ sung đầy đủ hồ sơ kèm theo dự thảo Tờ trình, trong đó có Bản rà soát các chủ trương, đường lối của Đảng, văn bản quy phạm pháp luật và điều ước quốc tế có liên quan, bảo đảm tuân thủ quy định tại khoản 2 Điều 27 Nghị định số 78/2025/NĐ-CP, được sửa đổi, bổ sung bởi Nghị định số 187/2025/NĐ-CP.</w:t>
            </w:r>
          </w:p>
          <w:p w14:paraId="7A0A8A50">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Về đề nghị bổ sung nội dung đánh giá tính tương thích của dự thảo Nghị định với các điều ước quốc tế: Tiếp thu. Ban soạn thảo đã bổ sung nội dung rà soát, đánh giá tính tương thích của dự thảo Nghị định với các điều ước quốc tế mà Việt Nam là thành viên, bao gồm các cam kết trong WTO, CPTPP, EVFTA, RCEP và các điều ước quốc tế có liên quan, bảo đảm phù hợp với quy định của Luật Ban hành văn bản quy phạm pháp luật và cam kết quốc tế của Việt Nam.</w:t>
            </w:r>
          </w:p>
        </w:tc>
      </w:tr>
      <w:tr w14:paraId="3B23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tcPr>
          <w:p w14:paraId="3BADC9F2">
            <w:pPr>
              <w:keepNext w:val="0"/>
              <w:keepLines w:val="0"/>
              <w:pageBreakBefore w:val="0"/>
              <w:kinsoku/>
              <w:wordWrap/>
              <w:overflowPunct/>
              <w:topLinePunct w:val="0"/>
              <w:autoSpaceDE/>
              <w:autoSpaceDN/>
              <w:bidi w:val="0"/>
              <w:adjustRightInd/>
              <w:snapToGrid/>
              <w:spacing w:after="0" w:line="240" w:lineRule="auto"/>
              <w:ind w:left="360"/>
              <w:jc w:val="center"/>
              <w:textAlignment w:val="auto"/>
              <w:rPr>
                <w:rFonts w:ascii="Times New Roman" w:hAnsi="Times New Roman" w:cs="Times New Roman"/>
                <w:color w:val="auto"/>
                <w:sz w:val="26"/>
                <w:szCs w:val="26"/>
                <w:lang w:val="vi-VN"/>
              </w:rPr>
            </w:pPr>
          </w:p>
        </w:tc>
        <w:tc>
          <w:tcPr>
            <w:tcW w:w="4041" w:type="dxa"/>
            <w:vMerge w:val="continue"/>
            <w:vAlign w:val="top"/>
          </w:tcPr>
          <w:p w14:paraId="45621ACB">
            <w:pPr>
              <w:keepNext w:val="0"/>
              <w:keepLines w:val="0"/>
              <w:pageBreakBefore w:val="0"/>
              <w:kinsoku/>
              <w:wordWrap/>
              <w:overflowPunct/>
              <w:topLinePunct w:val="0"/>
              <w:autoSpaceDE/>
              <w:autoSpaceDN/>
              <w:bidi w:val="0"/>
              <w:adjustRightInd/>
              <w:snapToGrid/>
              <w:spacing w:after="0" w:line="240" w:lineRule="auto"/>
              <w:jc w:val="both"/>
              <w:textAlignment w:val="auto"/>
              <w:rPr>
                <w:rFonts w:ascii="Times New Roman" w:hAnsi="Times New Roman" w:cs="Times New Roman"/>
                <w:color w:val="auto"/>
                <w:sz w:val="26"/>
                <w:szCs w:val="26"/>
                <w:lang w:val="vi-VN"/>
              </w:rPr>
            </w:pPr>
          </w:p>
        </w:tc>
        <w:tc>
          <w:tcPr>
            <w:tcW w:w="1493" w:type="dxa"/>
            <w:vAlign w:val="top"/>
          </w:tcPr>
          <w:p w14:paraId="211CD2D7">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cs="Times New Roman"/>
                <w:color w:val="auto"/>
                <w:sz w:val="26"/>
                <w:szCs w:val="26"/>
              </w:rPr>
            </w:pPr>
            <w:r>
              <w:rPr>
                <w:rFonts w:ascii="Times New Roman" w:hAnsi="Times New Roman" w:cs="Times New Roman"/>
                <w:color w:val="auto"/>
                <w:sz w:val="26"/>
                <w:szCs w:val="26"/>
              </w:rPr>
              <w:t>Vụ Pháp chế</w:t>
            </w:r>
          </w:p>
        </w:tc>
        <w:tc>
          <w:tcPr>
            <w:tcW w:w="5205" w:type="dxa"/>
            <w:vMerge w:val="continue"/>
            <w:vAlign w:val="top"/>
          </w:tcPr>
          <w:p w14:paraId="4E0EB08F">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cs="Times New Roman"/>
                <w:color w:val="auto"/>
                <w:sz w:val="26"/>
                <w:szCs w:val="26"/>
                <w:lang w:val="vi-VN"/>
              </w:rPr>
            </w:pPr>
          </w:p>
        </w:tc>
        <w:tc>
          <w:tcPr>
            <w:tcW w:w="3642" w:type="dxa"/>
            <w:vMerge w:val="continue"/>
            <w:vAlign w:val="top"/>
          </w:tcPr>
          <w:p w14:paraId="15F645E7">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color w:val="auto"/>
                <w:sz w:val="26"/>
                <w:szCs w:val="26"/>
                <w:lang w:val="en-US"/>
              </w:rPr>
            </w:pPr>
          </w:p>
        </w:tc>
      </w:tr>
      <w:tr w14:paraId="36EAC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0D1C6008">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3</w:t>
            </w:r>
          </w:p>
        </w:tc>
        <w:tc>
          <w:tcPr>
            <w:tcW w:w="4041" w:type="dxa"/>
            <w:vAlign w:val="top"/>
          </w:tcPr>
          <w:p w14:paraId="64B10121">
            <w:pPr>
              <w:keepNext w:val="0"/>
              <w:keepLines w:val="0"/>
              <w:pageBreakBefore w:val="0"/>
              <w:kinsoku/>
              <w:wordWrap/>
              <w:overflowPunct/>
              <w:topLinePunct w:val="0"/>
              <w:autoSpaceDE/>
              <w:autoSpaceDN/>
              <w:bidi w:val="0"/>
              <w:adjustRightInd/>
              <w:snapToGrid/>
              <w:spacing w:after="0" w:line="240" w:lineRule="auto"/>
              <w:jc w:val="both"/>
              <w:textAlignment w:val="auto"/>
              <w:rPr>
                <w:rFonts w:ascii="Times New Roman" w:hAnsi="Times New Roman" w:cs="Times New Roman"/>
                <w:color w:val="auto"/>
                <w:sz w:val="26"/>
                <w:szCs w:val="26"/>
                <w:lang w:val="vi-VN"/>
              </w:rPr>
            </w:pPr>
          </w:p>
        </w:tc>
        <w:tc>
          <w:tcPr>
            <w:tcW w:w="1493" w:type="dxa"/>
            <w:vAlign w:val="top"/>
          </w:tcPr>
          <w:p w14:paraId="350933E6">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cs="Times New Roman"/>
                <w:color w:val="auto"/>
                <w:sz w:val="26"/>
                <w:szCs w:val="26"/>
              </w:rPr>
            </w:pPr>
            <w:r>
              <w:rPr>
                <w:rFonts w:hint="default" w:ascii="Times New Roman" w:hAnsi="Times New Roman" w:cs="Times New Roman"/>
                <w:color w:val="auto"/>
                <w:sz w:val="26"/>
                <w:szCs w:val="26"/>
                <w:lang w:val="en-US"/>
              </w:rPr>
              <w:t>Bộ Ngoại giao</w:t>
            </w:r>
          </w:p>
        </w:tc>
        <w:tc>
          <w:tcPr>
            <w:tcW w:w="5205" w:type="dxa"/>
            <w:vAlign w:val="top"/>
          </w:tcPr>
          <w:p w14:paraId="75570DD0">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Đề nghị Quý Bộ rà soát và bổ sung đầy đủ căn cứ ban hành Nghị định, bảo đảm phù hợp với quy định tại Điều 62 Nghị định số 78/2025/NĐ-CP.</w:t>
            </w:r>
            <w:r>
              <w:rPr>
                <w:rFonts w:hint="default" w:ascii="Times New Roman" w:hAnsi="Times New Roman" w:cs="Times New Roman"/>
                <w:color w:val="auto"/>
                <w:sz w:val="26"/>
                <w:szCs w:val="26"/>
              </w:rPr>
              <w:tab/>
            </w:r>
          </w:p>
          <w:p w14:paraId="62E4582F">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color w:val="auto"/>
                <w:sz w:val="26"/>
                <w:szCs w:val="26"/>
              </w:rPr>
            </w:pPr>
            <w:r>
              <w:rPr>
                <w:rFonts w:hint="default" w:ascii="Times New Roman" w:hAnsi="Times New Roman" w:cs="Times New Roman"/>
                <w:color w:val="auto"/>
                <w:sz w:val="26"/>
                <w:szCs w:val="26"/>
              </w:rPr>
              <w:t>- Quý Bộ cân nhắc bổ sung nội dung khuyến khích sự tham gia và huy động nguồn lực của các doanh nghiệp FDI, các đối tác, tổ chức quốc tế liên quan trong phát triển chuỗi giá trị nông nghiệp bền vững, chuyển giao công nghệ, hỗ trợ kỹ thuật, mở rộng thị trường, phát triển công nghiệp chế biến sâu nhằm nâng cao giá trị nông sản Việt Nam và tăng khả năng tham gia chuỗi cung ứng toàn cầu.</w:t>
            </w:r>
            <w:r>
              <w:rPr>
                <w:rFonts w:hint="default" w:ascii="Times New Roman" w:hAnsi="Times New Roman" w:cs="Times New Roman"/>
                <w:color w:val="auto"/>
                <w:sz w:val="26"/>
                <w:szCs w:val="26"/>
              </w:rPr>
              <w:tab/>
            </w:r>
          </w:p>
          <w:p w14:paraId="273FBBD6">
            <w:pPr>
              <w:keepNext w:val="0"/>
              <w:keepLines w:val="0"/>
              <w:pageBreakBefore w:val="0"/>
              <w:kinsoku/>
              <w:wordWrap/>
              <w:overflowPunct/>
              <w:topLinePunct w:val="0"/>
              <w:autoSpaceDE/>
              <w:autoSpaceDN/>
              <w:bidi w:val="0"/>
              <w:adjustRightInd/>
              <w:snapToGrid/>
              <w:spacing w:after="0" w:line="240" w:lineRule="auto"/>
              <w:jc w:val="left"/>
              <w:textAlignment w:val="auto"/>
              <w:rPr>
                <w:rFonts w:ascii="Times New Roman" w:hAnsi="Times New Roman" w:cs="Times New Roman"/>
                <w:color w:val="auto"/>
                <w:sz w:val="26"/>
                <w:szCs w:val="26"/>
              </w:rPr>
            </w:pPr>
            <w:r>
              <w:rPr>
                <w:rFonts w:hint="default" w:ascii="Times New Roman" w:hAnsi="Times New Roman" w:cs="Times New Roman"/>
                <w:color w:val="auto"/>
                <w:sz w:val="26"/>
                <w:szCs w:val="26"/>
              </w:rPr>
              <w:t>- Quý Bộ cân nhắc bổ sung nội dung về tận dụng hiệu quả các khuôn khổ hợp tác khu vực và quốc tế về nông nghiệp, an ninh lương thực mà Việt Nam là thành viên; thúc đẩy hợp tác công - tư trong các sáng kiến hợp tác quốc tế về liên kết chuỗi giá trị nông sản bền vững.</w:t>
            </w:r>
          </w:p>
        </w:tc>
        <w:tc>
          <w:tcPr>
            <w:tcW w:w="3642" w:type="dxa"/>
            <w:vAlign w:val="top"/>
          </w:tcPr>
          <w:p w14:paraId="6861BC8A">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Tiếp thu. Đã rà soát, bổ sung tại Mục 2.4-Rà soát chủ trương của Đảng, pháp luật hiện hành và điều ước quốc tế có liên quan (trong phần I.2 “Quá trình thực hiện tổng kết”).</w:t>
            </w:r>
          </w:p>
          <w:p w14:paraId="784C47D3">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Đồng thời bổ sung Mục 5.2. 5. Đánh giá sự phù hợp, tương thích với điều ước quốc tế trong báo cáo Tổng kết thi hành pháp luật.</w:t>
            </w:r>
          </w:p>
        </w:tc>
      </w:tr>
    </w:tbl>
    <w:p w14:paraId="6C124E72">
      <w:pPr>
        <w:jc w:val="center"/>
        <w:rPr>
          <w:rFonts w:ascii="Times New Roman" w:hAnsi="Times New Roman" w:cs="Times New Roman"/>
          <w:sz w:val="28"/>
          <w:szCs w:val="28"/>
          <w:lang w:val="vi-VN"/>
        </w:rPr>
      </w:pPr>
    </w:p>
    <w:sectPr>
      <w:headerReference r:id="rId5" w:type="default"/>
      <w:pgSz w:w="16840" w:h="11907" w:orient="landscape"/>
      <w:pgMar w:top="1121" w:right="720" w:bottom="720" w:left="720" w:header="709" w:footer="709"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ptos">
    <w:altName w:val="Segoe UI"/>
    <w:panose1 w:val="00000000000000000000"/>
    <w:charset w:val="86"/>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Aptos">
    <w:altName w:val="Segoe UI"/>
    <w:panose1 w:val="00000000000000000000"/>
    <w:charset w:val="86"/>
    <w:family w:val="auto"/>
    <w:pitch w:val="default"/>
    <w:sig w:usb0="00000000" w:usb1="00000000" w:usb2="00000000" w:usb3="00000000" w:csb0="00000000" w:csb1="00000000"/>
  </w:font>
  <w:font w:name="Aptos">
    <w:altName w:val="Segoe UI"/>
    <w:panose1 w:val="00000000000000000000"/>
    <w:charset w:val="00"/>
    <w:family w:val="auto"/>
    <w:pitch w:val="default"/>
    <w:sig w:usb0="00000000" w:usb1="00000000" w:usb2="00000000" w:usb3="00000000" w:csb0="00000000" w:csb1="00000000"/>
  </w:font>
  <w:font w:name="Aptos Display">
    <w:altName w:val="Arial"/>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8268729"/>
      <w:docPartObj>
        <w:docPartGallery w:val="autotext"/>
      </w:docPartObj>
    </w:sdtPr>
    <w:sdtEndPr>
      <w:rPr>
        <w:rFonts w:ascii="Times New Roman" w:hAnsi="Times New Roman" w:cs="Times New Roman"/>
        <w:sz w:val="26"/>
        <w:szCs w:val="26"/>
      </w:rPr>
    </w:sdtEndPr>
    <w:sdtContent>
      <w:p w14:paraId="0044E940">
        <w:pPr>
          <w:pStyle w:val="15"/>
          <w:keepNext w:val="0"/>
          <w:keepLines w:val="0"/>
          <w:pageBreakBefore w:val="0"/>
          <w:widowControl/>
          <w:kinsoku/>
          <w:wordWrap/>
          <w:overflowPunct/>
          <w:topLinePunct w:val="0"/>
          <w:bidi w:val="0"/>
          <w:adjustRightInd/>
          <w:snapToGrid/>
          <w:jc w:val="center"/>
          <w:textAlignment w:val="auto"/>
          <w:rPr>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sz w:val="26"/>
            <w:szCs w:val="26"/>
          </w:rPr>
          <w:t>2</w:t>
        </w:r>
        <w:r>
          <w:rPr>
            <w:rFonts w:ascii="Times New Roman" w:hAnsi="Times New Roman" w:cs="Times New Roman"/>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6BB"/>
    <w:rsid w:val="0000230D"/>
    <w:rsid w:val="0000233D"/>
    <w:rsid w:val="00002833"/>
    <w:rsid w:val="00006DC5"/>
    <w:rsid w:val="00007F6D"/>
    <w:rsid w:val="00011A25"/>
    <w:rsid w:val="00013561"/>
    <w:rsid w:val="00013DCA"/>
    <w:rsid w:val="00016059"/>
    <w:rsid w:val="000165DB"/>
    <w:rsid w:val="00020F08"/>
    <w:rsid w:val="00023751"/>
    <w:rsid w:val="000254F4"/>
    <w:rsid w:val="00027679"/>
    <w:rsid w:val="00031324"/>
    <w:rsid w:val="0003262E"/>
    <w:rsid w:val="00032B97"/>
    <w:rsid w:val="0003326C"/>
    <w:rsid w:val="000375FC"/>
    <w:rsid w:val="00043745"/>
    <w:rsid w:val="000458BF"/>
    <w:rsid w:val="00050C36"/>
    <w:rsid w:val="00054DE5"/>
    <w:rsid w:val="000578C4"/>
    <w:rsid w:val="00064D12"/>
    <w:rsid w:val="00071126"/>
    <w:rsid w:val="0007137F"/>
    <w:rsid w:val="00071537"/>
    <w:rsid w:val="00077150"/>
    <w:rsid w:val="00080C51"/>
    <w:rsid w:val="0008131C"/>
    <w:rsid w:val="0008455B"/>
    <w:rsid w:val="00086437"/>
    <w:rsid w:val="00090685"/>
    <w:rsid w:val="000928C9"/>
    <w:rsid w:val="0009320B"/>
    <w:rsid w:val="000A1C68"/>
    <w:rsid w:val="000A1F16"/>
    <w:rsid w:val="000A427E"/>
    <w:rsid w:val="000A6415"/>
    <w:rsid w:val="000A7B6A"/>
    <w:rsid w:val="000B0D79"/>
    <w:rsid w:val="000B3E46"/>
    <w:rsid w:val="000B798A"/>
    <w:rsid w:val="000C40CC"/>
    <w:rsid w:val="000C6AA2"/>
    <w:rsid w:val="000C6B08"/>
    <w:rsid w:val="000C74B9"/>
    <w:rsid w:val="000D22AA"/>
    <w:rsid w:val="000D266E"/>
    <w:rsid w:val="000D28D1"/>
    <w:rsid w:val="000D2B6C"/>
    <w:rsid w:val="000D2CDA"/>
    <w:rsid w:val="000D3E90"/>
    <w:rsid w:val="000D524E"/>
    <w:rsid w:val="000D67F4"/>
    <w:rsid w:val="000D6934"/>
    <w:rsid w:val="000E060A"/>
    <w:rsid w:val="000E0A5D"/>
    <w:rsid w:val="000E2B54"/>
    <w:rsid w:val="000E315E"/>
    <w:rsid w:val="000E637E"/>
    <w:rsid w:val="000E6C3A"/>
    <w:rsid w:val="000F1445"/>
    <w:rsid w:val="000F3238"/>
    <w:rsid w:val="000F4C62"/>
    <w:rsid w:val="000F60F7"/>
    <w:rsid w:val="000F7856"/>
    <w:rsid w:val="00104C7B"/>
    <w:rsid w:val="00106AED"/>
    <w:rsid w:val="0010796A"/>
    <w:rsid w:val="00113F8C"/>
    <w:rsid w:val="001172A2"/>
    <w:rsid w:val="0012397B"/>
    <w:rsid w:val="001244C2"/>
    <w:rsid w:val="00124BC0"/>
    <w:rsid w:val="00127331"/>
    <w:rsid w:val="00130E80"/>
    <w:rsid w:val="00132363"/>
    <w:rsid w:val="00133891"/>
    <w:rsid w:val="00135B28"/>
    <w:rsid w:val="00140E13"/>
    <w:rsid w:val="0014291B"/>
    <w:rsid w:val="00142A69"/>
    <w:rsid w:val="00144095"/>
    <w:rsid w:val="00147E8F"/>
    <w:rsid w:val="00154246"/>
    <w:rsid w:val="00154EBD"/>
    <w:rsid w:val="00156365"/>
    <w:rsid w:val="001623D3"/>
    <w:rsid w:val="00165778"/>
    <w:rsid w:val="001724F9"/>
    <w:rsid w:val="00172BAC"/>
    <w:rsid w:val="001750E2"/>
    <w:rsid w:val="00175A7C"/>
    <w:rsid w:val="00177448"/>
    <w:rsid w:val="001776BF"/>
    <w:rsid w:val="001901D7"/>
    <w:rsid w:val="00192FA8"/>
    <w:rsid w:val="0019353A"/>
    <w:rsid w:val="00196ED0"/>
    <w:rsid w:val="001A0540"/>
    <w:rsid w:val="001A58E5"/>
    <w:rsid w:val="001A781B"/>
    <w:rsid w:val="001B026E"/>
    <w:rsid w:val="001B37E3"/>
    <w:rsid w:val="001B512B"/>
    <w:rsid w:val="001B512D"/>
    <w:rsid w:val="001C273E"/>
    <w:rsid w:val="001C2974"/>
    <w:rsid w:val="001C743E"/>
    <w:rsid w:val="001D06E0"/>
    <w:rsid w:val="001D4CAE"/>
    <w:rsid w:val="001D6D7A"/>
    <w:rsid w:val="001D7719"/>
    <w:rsid w:val="001D77CA"/>
    <w:rsid w:val="001E0940"/>
    <w:rsid w:val="001E5732"/>
    <w:rsid w:val="001E62A9"/>
    <w:rsid w:val="001E6A43"/>
    <w:rsid w:val="001E7862"/>
    <w:rsid w:val="001F3B02"/>
    <w:rsid w:val="001F569A"/>
    <w:rsid w:val="002009F6"/>
    <w:rsid w:val="0020156F"/>
    <w:rsid w:val="00201D6A"/>
    <w:rsid w:val="00202328"/>
    <w:rsid w:val="00202E75"/>
    <w:rsid w:val="00203C6D"/>
    <w:rsid w:val="002058C4"/>
    <w:rsid w:val="002076EF"/>
    <w:rsid w:val="0021099F"/>
    <w:rsid w:val="002140E9"/>
    <w:rsid w:val="0021571A"/>
    <w:rsid w:val="00215D0F"/>
    <w:rsid w:val="0022152D"/>
    <w:rsid w:val="00222764"/>
    <w:rsid w:val="00223A62"/>
    <w:rsid w:val="00223DD5"/>
    <w:rsid w:val="00226890"/>
    <w:rsid w:val="002275BF"/>
    <w:rsid w:val="00227C59"/>
    <w:rsid w:val="00230F45"/>
    <w:rsid w:val="00231BAA"/>
    <w:rsid w:val="00233371"/>
    <w:rsid w:val="00234F0E"/>
    <w:rsid w:val="0023700B"/>
    <w:rsid w:val="002373DC"/>
    <w:rsid w:val="0024020B"/>
    <w:rsid w:val="002411B3"/>
    <w:rsid w:val="002413FD"/>
    <w:rsid w:val="00246DDD"/>
    <w:rsid w:val="00252232"/>
    <w:rsid w:val="00252821"/>
    <w:rsid w:val="00252C57"/>
    <w:rsid w:val="00260699"/>
    <w:rsid w:val="002625EC"/>
    <w:rsid w:val="002731A3"/>
    <w:rsid w:val="00276E7B"/>
    <w:rsid w:val="00277867"/>
    <w:rsid w:val="002819BB"/>
    <w:rsid w:val="002843A1"/>
    <w:rsid w:val="0029055E"/>
    <w:rsid w:val="00293E6D"/>
    <w:rsid w:val="00295071"/>
    <w:rsid w:val="00295875"/>
    <w:rsid w:val="00295BD0"/>
    <w:rsid w:val="002966A4"/>
    <w:rsid w:val="002A0BCE"/>
    <w:rsid w:val="002A0F57"/>
    <w:rsid w:val="002A3380"/>
    <w:rsid w:val="002A3CCB"/>
    <w:rsid w:val="002A4100"/>
    <w:rsid w:val="002A43C2"/>
    <w:rsid w:val="002A50CB"/>
    <w:rsid w:val="002A5D84"/>
    <w:rsid w:val="002A6FCA"/>
    <w:rsid w:val="002A79E2"/>
    <w:rsid w:val="002A7FF5"/>
    <w:rsid w:val="002B373F"/>
    <w:rsid w:val="002B6D65"/>
    <w:rsid w:val="002B6F8B"/>
    <w:rsid w:val="002B724B"/>
    <w:rsid w:val="002C2BDF"/>
    <w:rsid w:val="002C341B"/>
    <w:rsid w:val="002C462C"/>
    <w:rsid w:val="002D0968"/>
    <w:rsid w:val="002D1AC2"/>
    <w:rsid w:val="002D26EB"/>
    <w:rsid w:val="002D65C7"/>
    <w:rsid w:val="002E15C4"/>
    <w:rsid w:val="002E3BB8"/>
    <w:rsid w:val="002F3061"/>
    <w:rsid w:val="002F40D7"/>
    <w:rsid w:val="002F4538"/>
    <w:rsid w:val="002F552F"/>
    <w:rsid w:val="002F5F58"/>
    <w:rsid w:val="003014D2"/>
    <w:rsid w:val="00303798"/>
    <w:rsid w:val="00303BE5"/>
    <w:rsid w:val="003113D6"/>
    <w:rsid w:val="003168CC"/>
    <w:rsid w:val="0032128C"/>
    <w:rsid w:val="003230D7"/>
    <w:rsid w:val="0032331E"/>
    <w:rsid w:val="00324759"/>
    <w:rsid w:val="00324C06"/>
    <w:rsid w:val="00325758"/>
    <w:rsid w:val="0033459B"/>
    <w:rsid w:val="00336836"/>
    <w:rsid w:val="00337A3E"/>
    <w:rsid w:val="00340079"/>
    <w:rsid w:val="003402AC"/>
    <w:rsid w:val="00341901"/>
    <w:rsid w:val="003436A6"/>
    <w:rsid w:val="00343A57"/>
    <w:rsid w:val="00345322"/>
    <w:rsid w:val="00345855"/>
    <w:rsid w:val="00346478"/>
    <w:rsid w:val="00346EEA"/>
    <w:rsid w:val="0035107D"/>
    <w:rsid w:val="00351816"/>
    <w:rsid w:val="00352CA8"/>
    <w:rsid w:val="00353893"/>
    <w:rsid w:val="00360ABA"/>
    <w:rsid w:val="003614FF"/>
    <w:rsid w:val="003632C8"/>
    <w:rsid w:val="003638C4"/>
    <w:rsid w:val="00363FC7"/>
    <w:rsid w:val="003641DE"/>
    <w:rsid w:val="00371B41"/>
    <w:rsid w:val="003730E5"/>
    <w:rsid w:val="00382723"/>
    <w:rsid w:val="00382E62"/>
    <w:rsid w:val="00382FB7"/>
    <w:rsid w:val="00391BED"/>
    <w:rsid w:val="00394A17"/>
    <w:rsid w:val="00397256"/>
    <w:rsid w:val="003A270E"/>
    <w:rsid w:val="003A2EC6"/>
    <w:rsid w:val="003A61A3"/>
    <w:rsid w:val="003A6862"/>
    <w:rsid w:val="003A7DEB"/>
    <w:rsid w:val="003B3995"/>
    <w:rsid w:val="003C269B"/>
    <w:rsid w:val="003C7E86"/>
    <w:rsid w:val="003D0AE1"/>
    <w:rsid w:val="003D2C6F"/>
    <w:rsid w:val="003E3540"/>
    <w:rsid w:val="003E37FE"/>
    <w:rsid w:val="003F283A"/>
    <w:rsid w:val="003F5276"/>
    <w:rsid w:val="003F74A4"/>
    <w:rsid w:val="004006A9"/>
    <w:rsid w:val="00401AFD"/>
    <w:rsid w:val="00401ECF"/>
    <w:rsid w:val="00403BDE"/>
    <w:rsid w:val="00407151"/>
    <w:rsid w:val="00411F5C"/>
    <w:rsid w:val="00412ACA"/>
    <w:rsid w:val="00412FD5"/>
    <w:rsid w:val="00416DFE"/>
    <w:rsid w:val="00416F2F"/>
    <w:rsid w:val="00426AA7"/>
    <w:rsid w:val="00431764"/>
    <w:rsid w:val="004324B3"/>
    <w:rsid w:val="00432693"/>
    <w:rsid w:val="0043415B"/>
    <w:rsid w:val="004365CE"/>
    <w:rsid w:val="004366DA"/>
    <w:rsid w:val="0044462E"/>
    <w:rsid w:val="00445CE1"/>
    <w:rsid w:val="00455195"/>
    <w:rsid w:val="00455627"/>
    <w:rsid w:val="004569DD"/>
    <w:rsid w:val="004612B2"/>
    <w:rsid w:val="0046200B"/>
    <w:rsid w:val="00465F19"/>
    <w:rsid w:val="0047000D"/>
    <w:rsid w:val="004710ED"/>
    <w:rsid w:val="00473425"/>
    <w:rsid w:val="00473C46"/>
    <w:rsid w:val="00473C68"/>
    <w:rsid w:val="00475B16"/>
    <w:rsid w:val="004762A8"/>
    <w:rsid w:val="00476D9D"/>
    <w:rsid w:val="00480E03"/>
    <w:rsid w:val="00482433"/>
    <w:rsid w:val="00484CE0"/>
    <w:rsid w:val="00484FA2"/>
    <w:rsid w:val="0048659C"/>
    <w:rsid w:val="00490472"/>
    <w:rsid w:val="0049106D"/>
    <w:rsid w:val="004916AA"/>
    <w:rsid w:val="0049274B"/>
    <w:rsid w:val="0049394D"/>
    <w:rsid w:val="004953B2"/>
    <w:rsid w:val="00495759"/>
    <w:rsid w:val="00496E13"/>
    <w:rsid w:val="00497EAA"/>
    <w:rsid w:val="004A2453"/>
    <w:rsid w:val="004A4E67"/>
    <w:rsid w:val="004A7FE3"/>
    <w:rsid w:val="004B0C6E"/>
    <w:rsid w:val="004C58CB"/>
    <w:rsid w:val="004C7418"/>
    <w:rsid w:val="004D15E4"/>
    <w:rsid w:val="004D33E4"/>
    <w:rsid w:val="004D4A51"/>
    <w:rsid w:val="004D502B"/>
    <w:rsid w:val="004D5056"/>
    <w:rsid w:val="004D6833"/>
    <w:rsid w:val="004E3DE4"/>
    <w:rsid w:val="004E448F"/>
    <w:rsid w:val="004F1CBF"/>
    <w:rsid w:val="005004CE"/>
    <w:rsid w:val="00500593"/>
    <w:rsid w:val="0050724A"/>
    <w:rsid w:val="00510604"/>
    <w:rsid w:val="00510CF3"/>
    <w:rsid w:val="00512700"/>
    <w:rsid w:val="00515291"/>
    <w:rsid w:val="0051555F"/>
    <w:rsid w:val="005207E7"/>
    <w:rsid w:val="00523BED"/>
    <w:rsid w:val="00523F53"/>
    <w:rsid w:val="00525ED4"/>
    <w:rsid w:val="00526E39"/>
    <w:rsid w:val="005271F8"/>
    <w:rsid w:val="00527D18"/>
    <w:rsid w:val="00530D06"/>
    <w:rsid w:val="005317EC"/>
    <w:rsid w:val="00532492"/>
    <w:rsid w:val="005410B5"/>
    <w:rsid w:val="00541EDB"/>
    <w:rsid w:val="00542614"/>
    <w:rsid w:val="00543023"/>
    <w:rsid w:val="00545337"/>
    <w:rsid w:val="005505C1"/>
    <w:rsid w:val="005512CD"/>
    <w:rsid w:val="00553E2F"/>
    <w:rsid w:val="00560D05"/>
    <w:rsid w:val="00561306"/>
    <w:rsid w:val="005618A2"/>
    <w:rsid w:val="00561C2A"/>
    <w:rsid w:val="005628AF"/>
    <w:rsid w:val="0056529D"/>
    <w:rsid w:val="0056699E"/>
    <w:rsid w:val="00574552"/>
    <w:rsid w:val="00581350"/>
    <w:rsid w:val="00582420"/>
    <w:rsid w:val="00582F28"/>
    <w:rsid w:val="00583A1E"/>
    <w:rsid w:val="005849C7"/>
    <w:rsid w:val="005900B6"/>
    <w:rsid w:val="00591285"/>
    <w:rsid w:val="005918FD"/>
    <w:rsid w:val="005A2682"/>
    <w:rsid w:val="005A4DFD"/>
    <w:rsid w:val="005A5077"/>
    <w:rsid w:val="005A5CB1"/>
    <w:rsid w:val="005A675C"/>
    <w:rsid w:val="005B3B8C"/>
    <w:rsid w:val="005B507E"/>
    <w:rsid w:val="005C056F"/>
    <w:rsid w:val="005C1F9D"/>
    <w:rsid w:val="005C4FE6"/>
    <w:rsid w:val="005C6D50"/>
    <w:rsid w:val="005D027F"/>
    <w:rsid w:val="005D3438"/>
    <w:rsid w:val="005E2C24"/>
    <w:rsid w:val="005E749E"/>
    <w:rsid w:val="005F3A4E"/>
    <w:rsid w:val="005F4BA2"/>
    <w:rsid w:val="00600A40"/>
    <w:rsid w:val="0060150D"/>
    <w:rsid w:val="006023EB"/>
    <w:rsid w:val="00603D7F"/>
    <w:rsid w:val="00605CAD"/>
    <w:rsid w:val="00607BE2"/>
    <w:rsid w:val="0061058C"/>
    <w:rsid w:val="00611D0E"/>
    <w:rsid w:val="00613C93"/>
    <w:rsid w:val="006143E3"/>
    <w:rsid w:val="0062062D"/>
    <w:rsid w:val="00625312"/>
    <w:rsid w:val="00626A0E"/>
    <w:rsid w:val="00626DE0"/>
    <w:rsid w:val="00626F06"/>
    <w:rsid w:val="006355DC"/>
    <w:rsid w:val="00636452"/>
    <w:rsid w:val="00642661"/>
    <w:rsid w:val="00642DCE"/>
    <w:rsid w:val="006436A0"/>
    <w:rsid w:val="00647643"/>
    <w:rsid w:val="00647D8C"/>
    <w:rsid w:val="006529A3"/>
    <w:rsid w:val="00655EE1"/>
    <w:rsid w:val="0065650E"/>
    <w:rsid w:val="00660850"/>
    <w:rsid w:val="00666ECD"/>
    <w:rsid w:val="00667DF5"/>
    <w:rsid w:val="00671844"/>
    <w:rsid w:val="00674EF5"/>
    <w:rsid w:val="006753FC"/>
    <w:rsid w:val="0068193A"/>
    <w:rsid w:val="006829C4"/>
    <w:rsid w:val="0068790E"/>
    <w:rsid w:val="0069004C"/>
    <w:rsid w:val="00691018"/>
    <w:rsid w:val="0069154D"/>
    <w:rsid w:val="00693234"/>
    <w:rsid w:val="00694105"/>
    <w:rsid w:val="00694D8D"/>
    <w:rsid w:val="00696D6E"/>
    <w:rsid w:val="00697A2B"/>
    <w:rsid w:val="006A114E"/>
    <w:rsid w:val="006A2365"/>
    <w:rsid w:val="006A4AAA"/>
    <w:rsid w:val="006B0026"/>
    <w:rsid w:val="006B13AE"/>
    <w:rsid w:val="006B24A8"/>
    <w:rsid w:val="006B369D"/>
    <w:rsid w:val="006B6A04"/>
    <w:rsid w:val="006B7E13"/>
    <w:rsid w:val="006C38CB"/>
    <w:rsid w:val="006C6C22"/>
    <w:rsid w:val="006D113E"/>
    <w:rsid w:val="006D2D28"/>
    <w:rsid w:val="006D3296"/>
    <w:rsid w:val="006D379D"/>
    <w:rsid w:val="006D5692"/>
    <w:rsid w:val="006E08FD"/>
    <w:rsid w:val="006E389D"/>
    <w:rsid w:val="006F0A6C"/>
    <w:rsid w:val="006F5991"/>
    <w:rsid w:val="006F5FC2"/>
    <w:rsid w:val="006F780F"/>
    <w:rsid w:val="00701184"/>
    <w:rsid w:val="007014E3"/>
    <w:rsid w:val="00702237"/>
    <w:rsid w:val="00702A4C"/>
    <w:rsid w:val="00703337"/>
    <w:rsid w:val="00703395"/>
    <w:rsid w:val="00714817"/>
    <w:rsid w:val="00714AD7"/>
    <w:rsid w:val="00714F71"/>
    <w:rsid w:val="00715C49"/>
    <w:rsid w:val="00720237"/>
    <w:rsid w:val="00724C58"/>
    <w:rsid w:val="0072648E"/>
    <w:rsid w:val="007309F9"/>
    <w:rsid w:val="00732107"/>
    <w:rsid w:val="0073461A"/>
    <w:rsid w:val="00736703"/>
    <w:rsid w:val="00744889"/>
    <w:rsid w:val="00744E8F"/>
    <w:rsid w:val="00750B16"/>
    <w:rsid w:val="007523F3"/>
    <w:rsid w:val="0075546A"/>
    <w:rsid w:val="0075595A"/>
    <w:rsid w:val="00766900"/>
    <w:rsid w:val="00766D3C"/>
    <w:rsid w:val="00767EEE"/>
    <w:rsid w:val="00770EB5"/>
    <w:rsid w:val="007727BA"/>
    <w:rsid w:val="00774AB4"/>
    <w:rsid w:val="007757F1"/>
    <w:rsid w:val="00775A8F"/>
    <w:rsid w:val="007773A7"/>
    <w:rsid w:val="007810E5"/>
    <w:rsid w:val="0078233A"/>
    <w:rsid w:val="00790620"/>
    <w:rsid w:val="00791A33"/>
    <w:rsid w:val="0079206C"/>
    <w:rsid w:val="007936EA"/>
    <w:rsid w:val="00793F5C"/>
    <w:rsid w:val="00796250"/>
    <w:rsid w:val="00797D24"/>
    <w:rsid w:val="007A5B2C"/>
    <w:rsid w:val="007A5B44"/>
    <w:rsid w:val="007B1692"/>
    <w:rsid w:val="007B4CD9"/>
    <w:rsid w:val="007C065C"/>
    <w:rsid w:val="007C1297"/>
    <w:rsid w:val="007C14B2"/>
    <w:rsid w:val="007C221F"/>
    <w:rsid w:val="007C3226"/>
    <w:rsid w:val="007C63B5"/>
    <w:rsid w:val="007D0527"/>
    <w:rsid w:val="007D05F1"/>
    <w:rsid w:val="007D29FD"/>
    <w:rsid w:val="007D7397"/>
    <w:rsid w:val="007E0424"/>
    <w:rsid w:val="007E36E3"/>
    <w:rsid w:val="007E4826"/>
    <w:rsid w:val="007E63C9"/>
    <w:rsid w:val="007E6578"/>
    <w:rsid w:val="007E67E6"/>
    <w:rsid w:val="007E7C15"/>
    <w:rsid w:val="007F0ABE"/>
    <w:rsid w:val="007F12B3"/>
    <w:rsid w:val="007F26DC"/>
    <w:rsid w:val="008006E6"/>
    <w:rsid w:val="00802A94"/>
    <w:rsid w:val="0080428F"/>
    <w:rsid w:val="008055E1"/>
    <w:rsid w:val="0080653F"/>
    <w:rsid w:val="00812830"/>
    <w:rsid w:val="00817ADE"/>
    <w:rsid w:val="00824BDC"/>
    <w:rsid w:val="0082662E"/>
    <w:rsid w:val="00827A66"/>
    <w:rsid w:val="00827F56"/>
    <w:rsid w:val="0083057E"/>
    <w:rsid w:val="00832891"/>
    <w:rsid w:val="008337DF"/>
    <w:rsid w:val="00833A42"/>
    <w:rsid w:val="00834CC1"/>
    <w:rsid w:val="00837AC1"/>
    <w:rsid w:val="008413DB"/>
    <w:rsid w:val="00842021"/>
    <w:rsid w:val="008454B8"/>
    <w:rsid w:val="00845812"/>
    <w:rsid w:val="00847DFC"/>
    <w:rsid w:val="00851105"/>
    <w:rsid w:val="008519B9"/>
    <w:rsid w:val="00851DF3"/>
    <w:rsid w:val="00854726"/>
    <w:rsid w:val="00857598"/>
    <w:rsid w:val="0086087E"/>
    <w:rsid w:val="00861713"/>
    <w:rsid w:val="008638C3"/>
    <w:rsid w:val="0086474B"/>
    <w:rsid w:val="00864B5B"/>
    <w:rsid w:val="0086711A"/>
    <w:rsid w:val="008705F6"/>
    <w:rsid w:val="00871183"/>
    <w:rsid w:val="00872744"/>
    <w:rsid w:val="00873005"/>
    <w:rsid w:val="0087488E"/>
    <w:rsid w:val="00874A92"/>
    <w:rsid w:val="00874AFE"/>
    <w:rsid w:val="00874FB1"/>
    <w:rsid w:val="008750AB"/>
    <w:rsid w:val="008774BC"/>
    <w:rsid w:val="0088163C"/>
    <w:rsid w:val="00881833"/>
    <w:rsid w:val="008836B8"/>
    <w:rsid w:val="00885874"/>
    <w:rsid w:val="00886542"/>
    <w:rsid w:val="008865CF"/>
    <w:rsid w:val="00886C92"/>
    <w:rsid w:val="00893AAF"/>
    <w:rsid w:val="00895E86"/>
    <w:rsid w:val="00897088"/>
    <w:rsid w:val="008A08B9"/>
    <w:rsid w:val="008A08BC"/>
    <w:rsid w:val="008A1A4A"/>
    <w:rsid w:val="008A257B"/>
    <w:rsid w:val="008A52BC"/>
    <w:rsid w:val="008A6220"/>
    <w:rsid w:val="008A6FB3"/>
    <w:rsid w:val="008A720A"/>
    <w:rsid w:val="008A772C"/>
    <w:rsid w:val="008B3BDC"/>
    <w:rsid w:val="008B4A17"/>
    <w:rsid w:val="008C02F2"/>
    <w:rsid w:val="008C0E14"/>
    <w:rsid w:val="008C1D07"/>
    <w:rsid w:val="008C3471"/>
    <w:rsid w:val="008D1E6F"/>
    <w:rsid w:val="008D58AD"/>
    <w:rsid w:val="008E4EF4"/>
    <w:rsid w:val="008E5401"/>
    <w:rsid w:val="008E57E8"/>
    <w:rsid w:val="008E6015"/>
    <w:rsid w:val="008E756E"/>
    <w:rsid w:val="008F4A11"/>
    <w:rsid w:val="008F586C"/>
    <w:rsid w:val="008F7614"/>
    <w:rsid w:val="008F7B32"/>
    <w:rsid w:val="00900BF0"/>
    <w:rsid w:val="00903E30"/>
    <w:rsid w:val="009121A7"/>
    <w:rsid w:val="009203D9"/>
    <w:rsid w:val="00923E63"/>
    <w:rsid w:val="009248D6"/>
    <w:rsid w:val="00925091"/>
    <w:rsid w:val="009250EC"/>
    <w:rsid w:val="00926885"/>
    <w:rsid w:val="009346B7"/>
    <w:rsid w:val="00934E17"/>
    <w:rsid w:val="00936C7A"/>
    <w:rsid w:val="0094091D"/>
    <w:rsid w:val="009432FC"/>
    <w:rsid w:val="009435FF"/>
    <w:rsid w:val="009532BF"/>
    <w:rsid w:val="009561C0"/>
    <w:rsid w:val="009606C4"/>
    <w:rsid w:val="00962135"/>
    <w:rsid w:val="0096373C"/>
    <w:rsid w:val="00966E3D"/>
    <w:rsid w:val="00972AA1"/>
    <w:rsid w:val="00975372"/>
    <w:rsid w:val="0097678D"/>
    <w:rsid w:val="009817C6"/>
    <w:rsid w:val="0098234A"/>
    <w:rsid w:val="00984035"/>
    <w:rsid w:val="00984A93"/>
    <w:rsid w:val="00984DEA"/>
    <w:rsid w:val="0099169F"/>
    <w:rsid w:val="00993679"/>
    <w:rsid w:val="0099680E"/>
    <w:rsid w:val="0099787B"/>
    <w:rsid w:val="009A1CCE"/>
    <w:rsid w:val="009A2FFA"/>
    <w:rsid w:val="009A3778"/>
    <w:rsid w:val="009A51E2"/>
    <w:rsid w:val="009A67F3"/>
    <w:rsid w:val="009A6B7F"/>
    <w:rsid w:val="009A70CE"/>
    <w:rsid w:val="009A7733"/>
    <w:rsid w:val="009B05BB"/>
    <w:rsid w:val="009B0BFD"/>
    <w:rsid w:val="009B0E4F"/>
    <w:rsid w:val="009C27F2"/>
    <w:rsid w:val="009C6D60"/>
    <w:rsid w:val="009D1E65"/>
    <w:rsid w:val="009D2B40"/>
    <w:rsid w:val="009D6DB3"/>
    <w:rsid w:val="009E16BB"/>
    <w:rsid w:val="009E2465"/>
    <w:rsid w:val="009E56F3"/>
    <w:rsid w:val="009E7C46"/>
    <w:rsid w:val="009F25FE"/>
    <w:rsid w:val="009F442A"/>
    <w:rsid w:val="009F6180"/>
    <w:rsid w:val="00A000BA"/>
    <w:rsid w:val="00A0207B"/>
    <w:rsid w:val="00A028A8"/>
    <w:rsid w:val="00A10C12"/>
    <w:rsid w:val="00A143B5"/>
    <w:rsid w:val="00A26157"/>
    <w:rsid w:val="00A2652A"/>
    <w:rsid w:val="00A35149"/>
    <w:rsid w:val="00A37281"/>
    <w:rsid w:val="00A42580"/>
    <w:rsid w:val="00A42A7D"/>
    <w:rsid w:val="00A42FB7"/>
    <w:rsid w:val="00A4767E"/>
    <w:rsid w:val="00A53768"/>
    <w:rsid w:val="00A54B7E"/>
    <w:rsid w:val="00A54EEF"/>
    <w:rsid w:val="00A567CA"/>
    <w:rsid w:val="00A57496"/>
    <w:rsid w:val="00A57A51"/>
    <w:rsid w:val="00A57B27"/>
    <w:rsid w:val="00A57CA7"/>
    <w:rsid w:val="00A60A3F"/>
    <w:rsid w:val="00A63BDC"/>
    <w:rsid w:val="00A676A0"/>
    <w:rsid w:val="00A74C24"/>
    <w:rsid w:val="00A773A1"/>
    <w:rsid w:val="00A77F66"/>
    <w:rsid w:val="00A82E03"/>
    <w:rsid w:val="00A92665"/>
    <w:rsid w:val="00A92C3A"/>
    <w:rsid w:val="00A92D1C"/>
    <w:rsid w:val="00A943E1"/>
    <w:rsid w:val="00A94D41"/>
    <w:rsid w:val="00A96221"/>
    <w:rsid w:val="00A96C0A"/>
    <w:rsid w:val="00A96C9C"/>
    <w:rsid w:val="00AA002A"/>
    <w:rsid w:val="00AA06FD"/>
    <w:rsid w:val="00AA0BA6"/>
    <w:rsid w:val="00AA2E4F"/>
    <w:rsid w:val="00AA5F4B"/>
    <w:rsid w:val="00AB029D"/>
    <w:rsid w:val="00AB36C3"/>
    <w:rsid w:val="00AB43CA"/>
    <w:rsid w:val="00AB70B2"/>
    <w:rsid w:val="00AC0564"/>
    <w:rsid w:val="00AC6D03"/>
    <w:rsid w:val="00AD0244"/>
    <w:rsid w:val="00AD1A84"/>
    <w:rsid w:val="00AD2C75"/>
    <w:rsid w:val="00AD3322"/>
    <w:rsid w:val="00AE0418"/>
    <w:rsid w:val="00AE2524"/>
    <w:rsid w:val="00AE32A3"/>
    <w:rsid w:val="00AE3EDB"/>
    <w:rsid w:val="00AE58C5"/>
    <w:rsid w:val="00AF07F0"/>
    <w:rsid w:val="00AF3977"/>
    <w:rsid w:val="00AF5ADE"/>
    <w:rsid w:val="00B043FD"/>
    <w:rsid w:val="00B05D02"/>
    <w:rsid w:val="00B12E48"/>
    <w:rsid w:val="00B1334E"/>
    <w:rsid w:val="00B16927"/>
    <w:rsid w:val="00B1790B"/>
    <w:rsid w:val="00B21E9A"/>
    <w:rsid w:val="00B25056"/>
    <w:rsid w:val="00B25D1F"/>
    <w:rsid w:val="00B25D9A"/>
    <w:rsid w:val="00B26258"/>
    <w:rsid w:val="00B279F5"/>
    <w:rsid w:val="00B33500"/>
    <w:rsid w:val="00B364DE"/>
    <w:rsid w:val="00B36E8A"/>
    <w:rsid w:val="00B401D3"/>
    <w:rsid w:val="00B43F9F"/>
    <w:rsid w:val="00B44240"/>
    <w:rsid w:val="00B47675"/>
    <w:rsid w:val="00B50536"/>
    <w:rsid w:val="00B50E26"/>
    <w:rsid w:val="00B546D3"/>
    <w:rsid w:val="00B55FD6"/>
    <w:rsid w:val="00B61A71"/>
    <w:rsid w:val="00B61CCC"/>
    <w:rsid w:val="00B6309D"/>
    <w:rsid w:val="00B7530E"/>
    <w:rsid w:val="00B75C51"/>
    <w:rsid w:val="00B76C5B"/>
    <w:rsid w:val="00B80A3F"/>
    <w:rsid w:val="00B823D9"/>
    <w:rsid w:val="00B868A3"/>
    <w:rsid w:val="00B90249"/>
    <w:rsid w:val="00B91BB2"/>
    <w:rsid w:val="00B93EBB"/>
    <w:rsid w:val="00B959A9"/>
    <w:rsid w:val="00BA2355"/>
    <w:rsid w:val="00BA2B02"/>
    <w:rsid w:val="00BA420D"/>
    <w:rsid w:val="00BA4FB4"/>
    <w:rsid w:val="00BA5E29"/>
    <w:rsid w:val="00BA6422"/>
    <w:rsid w:val="00BA660D"/>
    <w:rsid w:val="00BB3D45"/>
    <w:rsid w:val="00BB7134"/>
    <w:rsid w:val="00BC058B"/>
    <w:rsid w:val="00BC0F27"/>
    <w:rsid w:val="00BC15B1"/>
    <w:rsid w:val="00BD0742"/>
    <w:rsid w:val="00BD090C"/>
    <w:rsid w:val="00BD09C9"/>
    <w:rsid w:val="00BD12EF"/>
    <w:rsid w:val="00BE1355"/>
    <w:rsid w:val="00BE2B32"/>
    <w:rsid w:val="00BE3EA6"/>
    <w:rsid w:val="00BE4187"/>
    <w:rsid w:val="00BF2D1B"/>
    <w:rsid w:val="00BF33DE"/>
    <w:rsid w:val="00BF4BA1"/>
    <w:rsid w:val="00BF642C"/>
    <w:rsid w:val="00C01BB5"/>
    <w:rsid w:val="00C0261F"/>
    <w:rsid w:val="00C04911"/>
    <w:rsid w:val="00C05FB1"/>
    <w:rsid w:val="00C104CE"/>
    <w:rsid w:val="00C10F2A"/>
    <w:rsid w:val="00C1138B"/>
    <w:rsid w:val="00C1209F"/>
    <w:rsid w:val="00C14BD2"/>
    <w:rsid w:val="00C14FE6"/>
    <w:rsid w:val="00C2274A"/>
    <w:rsid w:val="00C25229"/>
    <w:rsid w:val="00C25601"/>
    <w:rsid w:val="00C27057"/>
    <w:rsid w:val="00C302E5"/>
    <w:rsid w:val="00C306BE"/>
    <w:rsid w:val="00C328A6"/>
    <w:rsid w:val="00C34341"/>
    <w:rsid w:val="00C358DD"/>
    <w:rsid w:val="00C36D0D"/>
    <w:rsid w:val="00C43E60"/>
    <w:rsid w:val="00C47810"/>
    <w:rsid w:val="00C52266"/>
    <w:rsid w:val="00C540F0"/>
    <w:rsid w:val="00C621A0"/>
    <w:rsid w:val="00C627A3"/>
    <w:rsid w:val="00C630AA"/>
    <w:rsid w:val="00C65EEC"/>
    <w:rsid w:val="00C714E8"/>
    <w:rsid w:val="00C7455A"/>
    <w:rsid w:val="00C74D97"/>
    <w:rsid w:val="00C74E72"/>
    <w:rsid w:val="00C80822"/>
    <w:rsid w:val="00C81ACF"/>
    <w:rsid w:val="00C82610"/>
    <w:rsid w:val="00C83FA1"/>
    <w:rsid w:val="00C87B83"/>
    <w:rsid w:val="00C96A73"/>
    <w:rsid w:val="00CA1384"/>
    <w:rsid w:val="00CA1A5F"/>
    <w:rsid w:val="00CA3250"/>
    <w:rsid w:val="00CA66D2"/>
    <w:rsid w:val="00CA6826"/>
    <w:rsid w:val="00CA6B79"/>
    <w:rsid w:val="00CB1109"/>
    <w:rsid w:val="00CB166E"/>
    <w:rsid w:val="00CB346D"/>
    <w:rsid w:val="00CB4210"/>
    <w:rsid w:val="00CC1C5A"/>
    <w:rsid w:val="00CC35B2"/>
    <w:rsid w:val="00CD0B06"/>
    <w:rsid w:val="00CD16F8"/>
    <w:rsid w:val="00CD2BCB"/>
    <w:rsid w:val="00CD4165"/>
    <w:rsid w:val="00CE26B0"/>
    <w:rsid w:val="00CE3023"/>
    <w:rsid w:val="00CE345C"/>
    <w:rsid w:val="00CE4D3A"/>
    <w:rsid w:val="00CE745C"/>
    <w:rsid w:val="00CF08D2"/>
    <w:rsid w:val="00CF3D76"/>
    <w:rsid w:val="00D037A4"/>
    <w:rsid w:val="00D04C20"/>
    <w:rsid w:val="00D0735D"/>
    <w:rsid w:val="00D10C58"/>
    <w:rsid w:val="00D1216C"/>
    <w:rsid w:val="00D13118"/>
    <w:rsid w:val="00D137CD"/>
    <w:rsid w:val="00D21D1F"/>
    <w:rsid w:val="00D221F4"/>
    <w:rsid w:val="00D22C38"/>
    <w:rsid w:val="00D244E3"/>
    <w:rsid w:val="00D246AB"/>
    <w:rsid w:val="00D2640B"/>
    <w:rsid w:val="00D3670E"/>
    <w:rsid w:val="00D40B78"/>
    <w:rsid w:val="00D42BD2"/>
    <w:rsid w:val="00D42C2B"/>
    <w:rsid w:val="00D4383C"/>
    <w:rsid w:val="00D47112"/>
    <w:rsid w:val="00D47425"/>
    <w:rsid w:val="00D5125B"/>
    <w:rsid w:val="00D54A86"/>
    <w:rsid w:val="00D56ED4"/>
    <w:rsid w:val="00D61F15"/>
    <w:rsid w:val="00D63496"/>
    <w:rsid w:val="00D67A56"/>
    <w:rsid w:val="00D71CA3"/>
    <w:rsid w:val="00D71E40"/>
    <w:rsid w:val="00D7214C"/>
    <w:rsid w:val="00D8149C"/>
    <w:rsid w:val="00D82D86"/>
    <w:rsid w:val="00D840CC"/>
    <w:rsid w:val="00D8607F"/>
    <w:rsid w:val="00D87912"/>
    <w:rsid w:val="00D87E8B"/>
    <w:rsid w:val="00D9152C"/>
    <w:rsid w:val="00D93181"/>
    <w:rsid w:val="00D94999"/>
    <w:rsid w:val="00D94C37"/>
    <w:rsid w:val="00DA1ABE"/>
    <w:rsid w:val="00DA237C"/>
    <w:rsid w:val="00DA4078"/>
    <w:rsid w:val="00DA6BC7"/>
    <w:rsid w:val="00DB0232"/>
    <w:rsid w:val="00DB13F2"/>
    <w:rsid w:val="00DB27E5"/>
    <w:rsid w:val="00DB6A6A"/>
    <w:rsid w:val="00DB72E8"/>
    <w:rsid w:val="00DC473A"/>
    <w:rsid w:val="00DC61C5"/>
    <w:rsid w:val="00DD1DD9"/>
    <w:rsid w:val="00DD2168"/>
    <w:rsid w:val="00DD46CD"/>
    <w:rsid w:val="00DD493D"/>
    <w:rsid w:val="00DE200A"/>
    <w:rsid w:val="00DE35DE"/>
    <w:rsid w:val="00DE5303"/>
    <w:rsid w:val="00DE6227"/>
    <w:rsid w:val="00DE683A"/>
    <w:rsid w:val="00DF100D"/>
    <w:rsid w:val="00DF3A44"/>
    <w:rsid w:val="00DF6E60"/>
    <w:rsid w:val="00E0070B"/>
    <w:rsid w:val="00E03615"/>
    <w:rsid w:val="00E04FFD"/>
    <w:rsid w:val="00E10C4D"/>
    <w:rsid w:val="00E14613"/>
    <w:rsid w:val="00E2283C"/>
    <w:rsid w:val="00E25609"/>
    <w:rsid w:val="00E25799"/>
    <w:rsid w:val="00E266F7"/>
    <w:rsid w:val="00E34267"/>
    <w:rsid w:val="00E3468C"/>
    <w:rsid w:val="00E4084E"/>
    <w:rsid w:val="00E42EEA"/>
    <w:rsid w:val="00E4517C"/>
    <w:rsid w:val="00E50A11"/>
    <w:rsid w:val="00E50E89"/>
    <w:rsid w:val="00E54512"/>
    <w:rsid w:val="00E54C64"/>
    <w:rsid w:val="00E54EED"/>
    <w:rsid w:val="00E60FB0"/>
    <w:rsid w:val="00E63018"/>
    <w:rsid w:val="00E6641C"/>
    <w:rsid w:val="00E66695"/>
    <w:rsid w:val="00E713AC"/>
    <w:rsid w:val="00E73155"/>
    <w:rsid w:val="00E751C6"/>
    <w:rsid w:val="00E77121"/>
    <w:rsid w:val="00E774F5"/>
    <w:rsid w:val="00E80225"/>
    <w:rsid w:val="00E8208E"/>
    <w:rsid w:val="00E837F9"/>
    <w:rsid w:val="00E83FF8"/>
    <w:rsid w:val="00E84BEC"/>
    <w:rsid w:val="00E84F7F"/>
    <w:rsid w:val="00E86C0F"/>
    <w:rsid w:val="00E93223"/>
    <w:rsid w:val="00E9375F"/>
    <w:rsid w:val="00EA0073"/>
    <w:rsid w:val="00EA0BE1"/>
    <w:rsid w:val="00EA2B75"/>
    <w:rsid w:val="00EA4A93"/>
    <w:rsid w:val="00EA7EAA"/>
    <w:rsid w:val="00EB11FC"/>
    <w:rsid w:val="00EB201B"/>
    <w:rsid w:val="00EB34DF"/>
    <w:rsid w:val="00EB3B6A"/>
    <w:rsid w:val="00EC0581"/>
    <w:rsid w:val="00EC1F20"/>
    <w:rsid w:val="00EC22E7"/>
    <w:rsid w:val="00EC36AE"/>
    <w:rsid w:val="00EC5D6B"/>
    <w:rsid w:val="00ED3769"/>
    <w:rsid w:val="00ED4C79"/>
    <w:rsid w:val="00EE1109"/>
    <w:rsid w:val="00EE144E"/>
    <w:rsid w:val="00EE1BB4"/>
    <w:rsid w:val="00EE2630"/>
    <w:rsid w:val="00EE3593"/>
    <w:rsid w:val="00EF338D"/>
    <w:rsid w:val="00EF55F8"/>
    <w:rsid w:val="00EF58B2"/>
    <w:rsid w:val="00EF6FF9"/>
    <w:rsid w:val="00F02583"/>
    <w:rsid w:val="00F077BB"/>
    <w:rsid w:val="00F10BDE"/>
    <w:rsid w:val="00F1475B"/>
    <w:rsid w:val="00F17EF8"/>
    <w:rsid w:val="00F205F6"/>
    <w:rsid w:val="00F2418D"/>
    <w:rsid w:val="00F27817"/>
    <w:rsid w:val="00F32AAC"/>
    <w:rsid w:val="00F33D4B"/>
    <w:rsid w:val="00F34C9D"/>
    <w:rsid w:val="00F36203"/>
    <w:rsid w:val="00F404D6"/>
    <w:rsid w:val="00F43939"/>
    <w:rsid w:val="00F43985"/>
    <w:rsid w:val="00F43EE2"/>
    <w:rsid w:val="00F5139F"/>
    <w:rsid w:val="00F52A80"/>
    <w:rsid w:val="00F533A6"/>
    <w:rsid w:val="00F5537C"/>
    <w:rsid w:val="00F5623C"/>
    <w:rsid w:val="00F70390"/>
    <w:rsid w:val="00F70AE3"/>
    <w:rsid w:val="00F73DF8"/>
    <w:rsid w:val="00F75B50"/>
    <w:rsid w:val="00F76C66"/>
    <w:rsid w:val="00F80D1B"/>
    <w:rsid w:val="00F84B0C"/>
    <w:rsid w:val="00F85C30"/>
    <w:rsid w:val="00F85EDF"/>
    <w:rsid w:val="00F91AF5"/>
    <w:rsid w:val="00FA0715"/>
    <w:rsid w:val="00FA1605"/>
    <w:rsid w:val="00FA7086"/>
    <w:rsid w:val="00FA7598"/>
    <w:rsid w:val="00FB09DA"/>
    <w:rsid w:val="00FB4F0E"/>
    <w:rsid w:val="00FB790F"/>
    <w:rsid w:val="00FC6E77"/>
    <w:rsid w:val="00FD06AE"/>
    <w:rsid w:val="00FD3513"/>
    <w:rsid w:val="00FE0455"/>
    <w:rsid w:val="00FE0C35"/>
    <w:rsid w:val="00FE148F"/>
    <w:rsid w:val="00FE1AD0"/>
    <w:rsid w:val="00FE2E65"/>
    <w:rsid w:val="00FE3552"/>
    <w:rsid w:val="00FF2113"/>
    <w:rsid w:val="00FF3A0F"/>
    <w:rsid w:val="00FF5140"/>
    <w:rsid w:val="00FF5388"/>
    <w:rsid w:val="00FF53EC"/>
    <w:rsid w:val="00FF78D8"/>
    <w:rsid w:val="02366D2D"/>
    <w:rsid w:val="122968D9"/>
    <w:rsid w:val="135C37D3"/>
    <w:rsid w:val="1CEF0D86"/>
    <w:rsid w:val="1EE24A39"/>
    <w:rsid w:val="2CFF066C"/>
    <w:rsid w:val="311566B0"/>
    <w:rsid w:val="338E6A89"/>
    <w:rsid w:val="34C346A0"/>
    <w:rsid w:val="3A8B419B"/>
    <w:rsid w:val="3CED5F04"/>
    <w:rsid w:val="419F3CB9"/>
    <w:rsid w:val="41A945C9"/>
    <w:rsid w:val="45ED64C7"/>
    <w:rsid w:val="4CD35E6B"/>
    <w:rsid w:val="4DBD7A5B"/>
    <w:rsid w:val="514968E8"/>
    <w:rsid w:val="594A4D8A"/>
    <w:rsid w:val="5A4A5FB2"/>
    <w:rsid w:val="637F0FCD"/>
    <w:rsid w:val="63AB1A91"/>
    <w:rsid w:val="65981FAB"/>
    <w:rsid w:val="687703F0"/>
    <w:rsid w:val="6A786D98"/>
    <w:rsid w:val="731474DA"/>
    <w:rsid w:val="732919FE"/>
    <w:rsid w:val="73BC69EE"/>
    <w:rsid w:val="78C93BB8"/>
    <w:rsid w:val="7ABB1DEA"/>
    <w:rsid w:val="7B990153"/>
    <w:rsid w:val="7D780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US" w:eastAsia="en-US" w:bidi="ar-SA"/>
      <w14:ligatures w14:val="standardContextual"/>
    </w:rPr>
  </w:style>
  <w:style w:type="paragraph" w:styleId="2">
    <w:name w:val="heading 1"/>
    <w:basedOn w:val="1"/>
    <w:next w:val="1"/>
    <w:link w:val="20"/>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2"/>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3"/>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4"/>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5"/>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6"/>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8"/>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Emphasis"/>
    <w:basedOn w:val="11"/>
    <w:qFormat/>
    <w:uiPriority w:val="20"/>
    <w:rPr>
      <w:i/>
      <w:iCs/>
    </w:rPr>
  </w:style>
  <w:style w:type="paragraph" w:styleId="14">
    <w:name w:val="footer"/>
    <w:basedOn w:val="1"/>
    <w:link w:val="40"/>
    <w:unhideWhenUsed/>
    <w:qFormat/>
    <w:uiPriority w:val="99"/>
    <w:pPr>
      <w:tabs>
        <w:tab w:val="center" w:pos="4680"/>
        <w:tab w:val="right" w:pos="9360"/>
      </w:tabs>
      <w:spacing w:after="0" w:line="240" w:lineRule="auto"/>
    </w:pPr>
  </w:style>
  <w:style w:type="paragraph" w:styleId="15">
    <w:name w:val="header"/>
    <w:basedOn w:val="1"/>
    <w:link w:val="39"/>
    <w:unhideWhenUsed/>
    <w:qFormat/>
    <w:uiPriority w:val="99"/>
    <w:pPr>
      <w:tabs>
        <w:tab w:val="center" w:pos="4680"/>
        <w:tab w:val="right" w:pos="9360"/>
      </w:tabs>
      <w:spacing w:after="0" w:line="240" w:lineRule="auto"/>
    </w:pPr>
  </w:style>
  <w:style w:type="character" w:styleId="16">
    <w:name w:val="Hyperlink"/>
    <w:basedOn w:val="11"/>
    <w:unhideWhenUsed/>
    <w:qFormat/>
    <w:uiPriority w:val="99"/>
    <w:rPr>
      <w:color w:val="467886" w:themeColor="hyperlink"/>
      <w:u w:val="single"/>
      <w14:textFill>
        <w14:solidFill>
          <w14:schemeClr w14:val="hlink"/>
        </w14:solidFill>
      </w14:textFill>
    </w:rPr>
  </w:style>
  <w:style w:type="paragraph" w:styleId="17">
    <w:name w:val="Subtitle"/>
    <w:basedOn w:val="1"/>
    <w:next w:val="1"/>
    <w:link w:val="30"/>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8">
    <w:name w:val="Table Grid"/>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Title"/>
    <w:basedOn w:val="1"/>
    <w:next w:val="1"/>
    <w:link w:val="29"/>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20">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1">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23">
    <w:name w:val="Heading 4 Char"/>
    <w:basedOn w:val="11"/>
    <w:link w:val="5"/>
    <w:semiHidden/>
    <w:qFormat/>
    <w:uiPriority w:val="9"/>
    <w:rPr>
      <w:rFonts w:eastAsiaTheme="majorEastAsia" w:cstheme="majorBidi"/>
      <w:i/>
      <w:iCs/>
      <w:color w:val="104862" w:themeColor="accent1" w:themeShade="BF"/>
    </w:rPr>
  </w:style>
  <w:style w:type="character" w:customStyle="1" w:styleId="24">
    <w:name w:val="Heading 5 Char"/>
    <w:basedOn w:val="11"/>
    <w:link w:val="6"/>
    <w:semiHidden/>
    <w:qFormat/>
    <w:uiPriority w:val="9"/>
    <w:rPr>
      <w:rFonts w:eastAsiaTheme="majorEastAsia" w:cstheme="majorBidi"/>
      <w:color w:val="104862" w:themeColor="accent1" w:themeShade="BF"/>
    </w:rPr>
  </w:style>
  <w:style w:type="character" w:customStyle="1" w:styleId="25">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6">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8">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9">
    <w:name w:val="Title Char"/>
    <w:basedOn w:val="11"/>
    <w:link w:val="19"/>
    <w:qFormat/>
    <w:uiPriority w:val="10"/>
    <w:rPr>
      <w:rFonts w:asciiTheme="majorHAnsi" w:hAnsiTheme="majorHAnsi" w:eastAsiaTheme="majorEastAsia" w:cstheme="majorBidi"/>
      <w:spacing w:val="-10"/>
      <w:kern w:val="28"/>
      <w:sz w:val="56"/>
      <w:szCs w:val="56"/>
    </w:rPr>
  </w:style>
  <w:style w:type="character" w:customStyle="1" w:styleId="30">
    <w:name w:val="Subtitle Char"/>
    <w:basedOn w:val="11"/>
    <w:link w:val="17"/>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Quote Char"/>
    <w:basedOn w:val="11"/>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link w:val="38"/>
    <w:qFormat/>
    <w:uiPriority w:val="34"/>
    <w:pPr>
      <w:ind w:left="720"/>
      <w:contextualSpacing/>
    </w:pPr>
  </w:style>
  <w:style w:type="character" w:customStyle="1" w:styleId="34">
    <w:name w:val="Intense Emphasis"/>
    <w:basedOn w:val="11"/>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Intense Quote Char"/>
    <w:basedOn w:val="11"/>
    <w:link w:val="35"/>
    <w:qFormat/>
    <w:uiPriority w:val="30"/>
    <w:rPr>
      <w:i/>
      <w:iCs/>
      <w:color w:val="104862" w:themeColor="accent1" w:themeShade="BF"/>
    </w:rPr>
  </w:style>
  <w:style w:type="character" w:customStyle="1" w:styleId="37">
    <w:name w:val="Intense Reference"/>
    <w:basedOn w:val="11"/>
    <w:qFormat/>
    <w:uiPriority w:val="32"/>
    <w:rPr>
      <w:b/>
      <w:bCs/>
      <w:smallCaps/>
      <w:color w:val="104862" w:themeColor="accent1" w:themeShade="BF"/>
      <w:spacing w:val="5"/>
    </w:rPr>
  </w:style>
  <w:style w:type="character" w:customStyle="1" w:styleId="38">
    <w:name w:val="List Paragraph Char"/>
    <w:link w:val="33"/>
    <w:qFormat/>
    <w:locked/>
    <w:uiPriority w:val="34"/>
  </w:style>
  <w:style w:type="character" w:customStyle="1" w:styleId="39">
    <w:name w:val="Header Char"/>
    <w:basedOn w:val="11"/>
    <w:link w:val="15"/>
    <w:qFormat/>
    <w:uiPriority w:val="99"/>
  </w:style>
  <w:style w:type="character" w:customStyle="1" w:styleId="40">
    <w:name w:val="Footer Char"/>
    <w:basedOn w:val="11"/>
    <w:link w:val="14"/>
    <w:qFormat/>
    <w:uiPriority w:val="99"/>
  </w:style>
  <w:style w:type="character" w:customStyle="1" w:styleId="41">
    <w:name w:val="ng-star-inserted"/>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401085-BA46-4F48-9F2B-4DC8A9BB2D67}">
  <ds:schemaRefs/>
</ds:datastoreItem>
</file>

<file path=docProps/app.xml><?xml version="1.0" encoding="utf-8"?>
<Properties xmlns="http://schemas.openxmlformats.org/officeDocument/2006/extended-properties" xmlns:vt="http://schemas.openxmlformats.org/officeDocument/2006/docPropsVTypes">
  <Template>Normal</Template>
  <Pages>3</Pages>
  <Words>1145</Words>
  <Characters>4127</Characters>
  <Lines>18</Lines>
  <Paragraphs>5</Paragraphs>
  <TotalTime>4</TotalTime>
  <ScaleCrop>false</ScaleCrop>
  <LinksUpToDate>false</LinksUpToDate>
  <CharactersWithSpaces>5282</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2026-05-17T02:41:00Z</dcterms:created>
  <dc:creator>Trần Cường</dc:creator>
  <cp:lastModifiedBy>Tiến Định Nguyễn</cp:lastModifiedBy>
  <dcterms:modified xsi:type="dcterms:W3CDTF">2026-07-02T06:58:36Z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eyJoZGlkIjoiZjBkMTZkNDY0ZjExMDNkMDdlNWVlZWVmOTMwODkyODUiLCJ1c2VySWQiOiIxMzkyMjkwMzc4Mzg3In0=</vt:lpwstr>
  </property>
  <property fmtid="{D5CDD505-2E9C-101B-9397-08002B2CF9AE}" pid="3" name="KSOProductBuildVer">
    <vt:lpwstr>1033-12.1.0.26880</vt:lpwstr>
  </property>
  <property fmtid="{D5CDD505-2E9C-101B-9397-08002B2CF9AE}" pid="4" name="ICV">
    <vt:lpwstr>D827797C4D4C493D8A0A8E7944EE7339_12</vt:lpwstr>
  </property>
</Properties>
</file>